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Home / Resources / Control Evidence Map</w:t>
      </w:r>
    </w:p>
    <w:p>
      <w:pPr>
        <w:pStyle w:val="BodyText"/>
      </w:pPr>
      <w:r>
        <w:t xml:space="preserve">BRIGHT SEA FIELD GUIDE · VERSION 1.1</w:t>
      </w:r>
    </w:p>
    <w:bookmarkStart w:id="48" w:name="control-evidence-map"/>
    <w:p>
      <w:pPr>
        <w:pStyle w:val="Heading1"/>
      </w:pPr>
      <w:r>
        <w:t xml:space="preserve">Control Evidence Map</w:t>
      </w:r>
    </w:p>
    <w:p>
      <w:pPr>
        <w:pStyle w:val="FirstParagraph"/>
      </w:pPr>
      <w:r>
        <w:t xml:space="preserve">A practical framework for translating a sanctions-screening policy into an owned, testable, and evidence-producing operating control.</w:t>
      </w:r>
    </w:p>
    <w:tbl>
      <w:tblPr>
        <w:tblStyle w:val="Table"/>
        <w:tblW w:type="pct" w:w="5000"/>
        <w:tblLook w:firstRow="0" w:lastRow="0" w:firstColumn="0" w:lastColumn="0" w:noHBand="0" w:noVBand="0" w:val="0000"/>
        <w:jc w:val="start"/>
      </w:tblPr>
      <w:tblGrid>
        <w:gridCol w:w="3960"/>
        <w:gridCol w:w="3960"/>
      </w:tblGrid>
      <w:tr>
        <w:trPr>
          <w:tblHeader/>
          <w:cantSplit/>
        </w:trPr>
        <w:tc>
          <w:tcPr/>
          <w:p>
            <w:pPr>
              <w:pStyle w:val="Compact"/>
              <w:jc w:val="left"/>
            </w:pPr>
            <w:r>
              <w:t xml:space="preserve">Artifact ID</w:t>
            </w:r>
          </w:p>
        </w:tc>
        <w:tc>
          <w:tcPr/>
          <w:p>
            <w:pPr>
              <w:pStyle w:val="Compact"/>
              <w:jc w:val="left"/>
            </w:pPr>
            <w:r>
              <w:t xml:space="preserve">BS-CEM-001</w:t>
            </w:r>
          </w:p>
        </w:tc>
      </w:tr>
      <w:tr>
        <w:trPr>
          <w:cantSplit/>
        </w:trPr>
        <w:tc>
          <w:tcPr/>
          <w:p>
            <w:pPr>
              <w:pStyle w:val="Compact"/>
              <w:jc w:val="left"/>
            </w:pPr>
            <w:r>
              <w:t xml:space="preserve">Version</w:t>
            </w:r>
          </w:p>
        </w:tc>
        <w:tc>
          <w:tcPr/>
          <w:p>
            <w:pPr>
              <w:pStyle w:val="Compact"/>
              <w:jc w:val="left"/>
            </w:pPr>
            <w:r>
              <w:t xml:space="preserve">1.1</w:t>
            </w:r>
          </w:p>
        </w:tc>
      </w:tr>
      <w:tr>
        <w:trPr>
          <w:cantSplit/>
        </w:trPr>
        <w:tc>
          <w:tcPr/>
          <w:p>
            <w:pPr>
              <w:pStyle w:val="Compact"/>
              <w:jc w:val="left"/>
            </w:pPr>
            <w:r>
              <w:t xml:space="preserve">Last reviewed</w:t>
            </w:r>
          </w:p>
        </w:tc>
        <w:tc>
          <w:tcPr/>
          <w:p>
            <w:pPr>
              <w:pStyle w:val="Compact"/>
              <w:jc w:val="left"/>
            </w:pPr>
            <w:r>
              <w:t xml:space="preserve">September 16, 2026</w:t>
            </w:r>
          </w:p>
        </w:tc>
      </w:tr>
      <w:tr>
        <w:trPr>
          <w:cantSplit/>
        </w:trPr>
        <w:tc>
          <w:tcPr/>
          <w:p>
            <w:pPr>
              <w:pStyle w:val="Compact"/>
              <w:jc w:val="left"/>
            </w:pPr>
            <w:r>
              <w:t xml:space="preserve">Next scheduled review</w:t>
            </w:r>
          </w:p>
        </w:tc>
        <w:tc>
          <w:tcPr/>
          <w:p>
            <w:pPr>
              <w:pStyle w:val="Compact"/>
              <w:jc w:val="left"/>
            </w:pPr>
            <w:r>
              <w:t xml:space="preserve">December 2026, and upon any material regulatory change</w:t>
            </w:r>
          </w:p>
        </w:tc>
      </w:tr>
      <w:tr>
        <w:trPr>
          <w:cantSplit/>
        </w:trPr>
        <w:tc>
          <w:tcPr/>
          <w:p>
            <w:pPr>
              <w:pStyle w:val="Compact"/>
              <w:jc w:val="left"/>
            </w:pPr>
            <w:r>
              <w:t xml:space="preserve">Status</w:t>
            </w:r>
          </w:p>
        </w:tc>
        <w:tc>
          <w:tcPr/>
          <w:p>
            <w:pPr>
              <w:pStyle w:val="Compact"/>
              <w:jc w:val="left"/>
            </w:pPr>
            <w:r>
              <w:t xml:space="preserve">Illustrative resource</w:t>
            </w:r>
          </w:p>
        </w:tc>
      </w:tr>
    </w:tbl>
    <w:bookmarkStart w:id="22" w:name="how-to-use-it"/>
    <w:p>
      <w:pPr>
        <w:pStyle w:val="Heading2"/>
      </w:pPr>
      <w:r>
        <w:t xml:space="preserve">How to use it</w:t>
      </w:r>
    </w:p>
    <w:bookmarkStart w:id="21" w:name="Xfb369ed6c8d53555ed993378e55a5c97965a56b"/>
    <w:p>
      <w:pPr>
        <w:pStyle w:val="Heading3"/>
      </w:pPr>
      <w:r>
        <w:t xml:space="preserve">Map the whole control before choosing the tool</w:t>
      </w:r>
    </w:p>
    <w:p>
      <w:pPr>
        <w:pStyle w:val="FirstParagraph"/>
      </w:pPr>
      <w:r>
        <w:t xml:space="preserve">Start with the obligation and the outcome the control must produce. Work through each stage until a reviewer can identify what runs, who decides, what happens when the process fails, and what record proves the result.</w:t>
      </w:r>
    </w:p>
    <w:p>
      <w:pPr>
        <w:pStyle w:val="BodyText"/>
      </w:pPr>
      <w:r>
        <w:t xml:space="preserve">Software may perform part of the workflow. The control also depends on scope, data quality, configured rules, holds, escalation, authority, evidence, quality review, and independent testing.</w:t>
      </w:r>
    </w:p>
    <w:p>
      <w:pPr>
        <w:pStyle w:val="BodyText"/>
      </w:pPr>
      <w:r>
        <w:t xml:space="preserve">For the reasoning behind each stage, read</w:t>
      </w:r>
      <w:r>
        <w:t xml:space="preserve"> </w:t>
      </w:r>
      <w:hyperlink r:id="rId20">
        <w:r>
          <w:rPr>
            <w:rStyle w:val="Hyperlink"/>
          </w:rPr>
          <w:t xml:space="preserve">How to Turn a Sanctions Policy Into an Operating Control</w:t>
        </w:r>
      </w:hyperlink>
      <w:r>
        <w:t xml:space="preserve">.</w:t>
      </w:r>
    </w:p>
    <w:p>
      <w:pPr>
        <w:pStyle w:val="BlockText"/>
      </w:pPr>
      <w:r>
        <w:rPr>
          <w:bCs/>
          <w:b/>
        </w:rPr>
        <w:t xml:space="preserve">Bright Sea working standard:</w:t>
      </w:r>
      <w:r>
        <w:t xml:space="preserve"> </w:t>
      </w:r>
      <w:r>
        <w:t xml:space="preserve">a control is ready for operation when an accountable person can run it, reconstruct it, test it, and correct it.</w:t>
      </w:r>
    </w:p>
    <w:bookmarkEnd w:id="21"/>
    <w:bookmarkEnd w:id="22"/>
    <w:bookmarkStart w:id="24" w:name="the-map"/>
    <w:p>
      <w:pPr>
        <w:pStyle w:val="Heading2"/>
      </w:pPr>
      <w:r>
        <w:t xml:space="preserve">The map</w:t>
      </w:r>
    </w:p>
    <w:bookmarkStart w:id="23" w:name="seven-connected-stages"/>
    <w:p>
      <w:pPr>
        <w:pStyle w:val="Heading3"/>
      </w:pPr>
      <w:r>
        <w:t xml:space="preserve">Seven connected stages</w:t>
      </w:r>
    </w:p>
    <w:p>
      <w:pPr>
        <w:pStyle w:val="FirstParagraph"/>
      </w:pPr>
      <w:r>
        <w:t xml:space="preserve">A gap in any stage weakens the operating control or the evidence available to defend it.</w:t>
      </w:r>
    </w:p>
    <w:p>
      <w:pPr>
        <w:pStyle w:val="BodyText"/>
      </w:pPr>
      <w:r>
        <w:rPr>
          <w:bCs/>
          <w:b/>
        </w:rPr>
        <w:t xml:space="preserve">01 · Obligation</w:t>
      </w:r>
      <w:r>
        <w:t xml:space="preserve"> </w:t>
      </w:r>
      <w:r>
        <w:rPr>
          <w:iCs/>
          <w:i/>
        </w:rPr>
        <w:t xml:space="preserve">What requirement or risk is the control addressing, and who bears it?</w:t>
      </w:r>
      <w:r>
        <w:t xml:space="preserve"> </w:t>
      </w:r>
      <w:r>
        <w:t xml:space="preserve">Define: applicable authority, policy statement, contractual requirement, risk statement, and the legal entity that holds the obligation.</w:t>
      </w:r>
      <w:r>
        <w:t xml:space="preserve"> </w:t>
      </w:r>
      <w:r>
        <w:t xml:space="preserve">Common gap: the obligation is stated for</w:t>
      </w:r>
      <w:r>
        <w:t xml:space="preserve"> </w:t>
      </w:r>
      <w:r>
        <w:t xml:space="preserve">“</w:t>
      </w:r>
      <w:r>
        <w:t xml:space="preserve">the company</w:t>
      </w:r>
      <w:r>
        <w:t xml:space="preserve">”</w:t>
      </w:r>
      <w:r>
        <w:t xml:space="preserve"> </w:t>
      </w:r>
      <w:r>
        <w:t xml:space="preserve">when the fintech, sponsor bank, and payments partners each carry different duties.</w:t>
      </w:r>
    </w:p>
    <w:p>
      <w:pPr>
        <w:pStyle w:val="BodyText"/>
      </w:pPr>
      <w:r>
        <w:rPr>
          <w:bCs/>
          <w:b/>
        </w:rPr>
        <w:t xml:space="preserve">02 · Control objective</w:t>
      </w:r>
      <w:r>
        <w:t xml:space="preserve"> </w:t>
      </w:r>
      <w:r>
        <w:rPr>
          <w:iCs/>
          <w:i/>
        </w:rPr>
        <w:t xml:space="preserve">What outcome must the control produce?</w:t>
      </w:r>
      <w:r>
        <w:t xml:space="preserve"> </w:t>
      </w:r>
      <w:r>
        <w:t xml:space="preserve">Define: a specific, observable result tied to the obligation and the organization’s risk assessment.</w:t>
      </w:r>
      <w:r>
        <w:t xml:space="preserve"> </w:t>
      </w:r>
      <w:r>
        <w:t xml:space="preserve">Common gap: the objective restates the policy (</w:t>
      </w:r>
      <w:r>
        <w:t xml:space="preserve">“</w:t>
      </w:r>
      <w:r>
        <w:t xml:space="preserve">screen all payments</w:t>
      </w:r>
      <w:r>
        <w:t xml:space="preserve">”</w:t>
      </w:r>
      <w:r>
        <w:t xml:space="preserve">) without describing a result a tester can confirm.</w:t>
      </w:r>
    </w:p>
    <w:p>
      <w:pPr>
        <w:pStyle w:val="BodyText"/>
      </w:pPr>
      <w:r>
        <w:rPr>
          <w:bCs/>
          <w:b/>
        </w:rPr>
        <w:t xml:space="preserve">03 · Trigger and scope</w:t>
      </w:r>
      <w:r>
        <w:t xml:space="preserve"> </w:t>
      </w:r>
      <w:r>
        <w:rPr>
          <w:iCs/>
          <w:i/>
        </w:rPr>
        <w:t xml:space="preserve">When does the control run, and which activity and data does it cover?</w:t>
      </w:r>
      <w:r>
        <w:t xml:space="preserve"> </w:t>
      </w:r>
      <w:r>
        <w:t xml:space="preserve">Define: events, parties, products, jurisdictions, data fields and their source systems, frequency, and approved exclusions.</w:t>
      </w:r>
      <w:r>
        <w:t xml:space="preserve"> </w:t>
      </w:r>
      <w:r>
        <w:t xml:space="preserve">Common gap: a field is captured at onboarding or in the payment message but never passed to the screening call. OFAC lists the failure to include identifiers such as SWIFT Business Identifier Codes among recurring root causes of violations [1].</w:t>
      </w:r>
    </w:p>
    <w:p>
      <w:pPr>
        <w:pStyle w:val="BodyText"/>
      </w:pPr>
      <w:r>
        <w:rPr>
          <w:bCs/>
          <w:b/>
        </w:rPr>
        <w:t xml:space="preserve">04 · Decision logic</w:t>
      </w:r>
      <w:r>
        <w:t xml:space="preserve"> </w:t>
      </w:r>
      <w:r>
        <w:rPr>
          <w:iCs/>
          <w:i/>
        </w:rPr>
        <w:t xml:space="preserve">How does the control reach and route a result?</w:t>
      </w:r>
      <w:r>
        <w:t xml:space="preserve"> </w:t>
      </w:r>
      <w:r>
        <w:t xml:space="preserve">Define: lists, rules, thresholds, configuration versions, system-enforced holds, queues, escalation criteria, approval authority, and post-disposition handoffs.</w:t>
      </w:r>
      <w:r>
        <w:t xml:space="preserve"> </w:t>
      </w:r>
      <w:r>
        <w:t xml:space="preserve">Common gap: a threshold or rule change reaches production without approval, testing, or a record of when it took effect.</w:t>
      </w:r>
    </w:p>
    <w:p>
      <w:pPr>
        <w:pStyle w:val="BodyText"/>
      </w:pPr>
      <w:r>
        <w:rPr>
          <w:bCs/>
          <w:b/>
        </w:rPr>
        <w:t xml:space="preserve">05 · Exception path</w:t>
      </w:r>
      <w:r>
        <w:t xml:space="preserve"> </w:t>
      </w:r>
      <w:r>
        <w:rPr>
          <w:iCs/>
          <w:i/>
        </w:rPr>
        <w:t xml:space="preserve">What happens when the normal process cannot finish?</w:t>
      </w:r>
      <w:r>
        <w:t xml:space="preserve"> </w:t>
      </w:r>
      <w:r>
        <w:t xml:space="preserve">Define: outages, incomplete data, stale lists, potential matches, queue backlogs, overrides, time limits, and escalation paths.</w:t>
      </w:r>
      <w:r>
        <w:t xml:space="preserve"> </w:t>
      </w:r>
      <w:r>
        <w:t xml:space="preserve">Common gap: during a backlog, held payments are released to clear the queue. OFAC cited this pattern in its 2021 Payoneer settlement [8].</w:t>
      </w:r>
    </w:p>
    <w:p>
      <w:pPr>
        <w:pStyle w:val="BodyText"/>
      </w:pPr>
      <w:r>
        <w:rPr>
          <w:bCs/>
          <w:b/>
        </w:rPr>
        <w:t xml:space="preserve">06 · Evidence</w:t>
      </w:r>
      <w:r>
        <w:t xml:space="preserve"> </w:t>
      </w:r>
      <w:r>
        <w:rPr>
          <w:iCs/>
          <w:i/>
        </w:rPr>
        <w:t xml:space="preserve">What proves the control ran and the decision was authorized?</w:t>
      </w:r>
      <w:r>
        <w:t xml:space="preserve"> </w:t>
      </w:r>
      <w:r>
        <w:t xml:space="preserve">Define: inputs, versions, timestamps, results, rationale, approvals, release events, reports filed, audit history, system of record, and retention period.</w:t>
      </w:r>
      <w:r>
        <w:t xml:space="preserve"> </w:t>
      </w:r>
      <w:r>
        <w:t xml:space="preserve">Common gap: the case system says</w:t>
      </w:r>
      <w:r>
        <w:t xml:space="preserve"> </w:t>
      </w:r>
      <w:r>
        <w:t xml:space="preserve">“</w:t>
      </w:r>
      <w:r>
        <w:t xml:space="preserve">cleared,</w:t>
      </w:r>
      <w:r>
        <w:t xml:space="preserve">”</w:t>
      </w:r>
      <w:r>
        <w:t xml:space="preserve"> </w:t>
      </w:r>
      <w:r>
        <w:t xml:space="preserve">and the rationale, list version, and approver identity sit in email or nowhere.</w:t>
      </w:r>
    </w:p>
    <w:p>
      <w:pPr>
        <w:pStyle w:val="BodyText"/>
      </w:pPr>
      <w:r>
        <w:rPr>
          <w:bCs/>
          <w:b/>
        </w:rPr>
        <w:t xml:space="preserve">07 · Assurance</w:t>
      </w:r>
      <w:r>
        <w:t xml:space="preserve"> </w:t>
      </w:r>
      <w:r>
        <w:rPr>
          <w:iCs/>
          <w:i/>
        </w:rPr>
        <w:t xml:space="preserve">Who owns, reviews, tests, and corrects the control?</w:t>
      </w:r>
      <w:r>
        <w:t xml:space="preserve"> </w:t>
      </w:r>
      <w:r>
        <w:t xml:space="preserve">Define: operating owner, compliance owner, quality review, detection testing, independent testing, metrics, change control, and remediation.</w:t>
      </w:r>
      <w:r>
        <w:t xml:space="preserve"> </w:t>
      </w:r>
      <w:r>
        <w:t xml:space="preserve">Common gap: testing samples the alerts the engine produced and never checks whether the engine flags the matches it should.</w:t>
      </w:r>
    </w:p>
    <w:bookmarkEnd w:id="23"/>
    <w:bookmarkEnd w:id="24"/>
    <w:bookmarkStart w:id="26" w:name="worked-example"/>
    <w:p>
      <w:pPr>
        <w:pStyle w:val="Heading2"/>
      </w:pPr>
      <w:r>
        <w:t xml:space="preserve">Worked example</w:t>
      </w:r>
    </w:p>
    <w:bookmarkStart w:id="25" w:name="pre-release-sanctions-screening"/>
    <w:p>
      <w:pPr>
        <w:pStyle w:val="Heading3"/>
      </w:pPr>
      <w:r>
        <w:t xml:space="preserve">Pre-release sanctions screening</w:t>
      </w:r>
    </w:p>
    <w:p>
      <w:pPr>
        <w:pStyle w:val="FirstParagraph"/>
      </w:pPr>
      <w:r>
        <w:t xml:space="preserve">This synthetic example shows the level of definition required to make a policy statement operational. It is illustrative and makes no determination about any particular transaction.</w:t>
      </w:r>
    </w:p>
    <w:tbl>
      <w:tblPr>
        <w:tblStyle w:val="Table"/>
        <w:tblW w:type="pct" w:w="5000"/>
        <w:tblLook w:firstRow="1" w:lastRow="0" w:firstColumn="0" w:lastColumn="0" w:noHBand="0" w:noVBand="0" w:val="0020"/>
        <w:jc w:val="start"/>
      </w:tblPr>
      <w:tblGrid>
        <w:gridCol w:w="3960"/>
        <w:gridCol w:w="3960"/>
      </w:tblGrid>
      <w:tr>
        <w:trPr>
          <w:tblHeader w:val="true"/>
          <w:cantSplit/>
        </w:trPr>
        <w:tc>
          <w:tcPr/>
          <w:p>
            <w:pPr>
              <w:pStyle w:val="Compact"/>
              <w:jc w:val="left"/>
            </w:pPr>
            <w:r>
              <w:t xml:space="preserve">Field</w:t>
            </w:r>
          </w:p>
        </w:tc>
        <w:tc>
          <w:tcPr/>
          <w:p>
            <w:pPr>
              <w:pStyle w:val="Compact"/>
              <w:jc w:val="left"/>
            </w:pPr>
            <w:r>
              <w:t xml:space="preserve">Definition</w:t>
            </w:r>
          </w:p>
        </w:tc>
      </w:tr>
      <w:tr>
        <w:trPr>
          <w:cantSplit/>
        </w:trPr>
        <w:tc>
          <w:tcPr/>
          <w:p>
            <w:pPr>
              <w:pStyle w:val="Compact"/>
              <w:jc w:val="left"/>
            </w:pPr>
            <w:r>
              <w:rPr>
                <w:bCs/>
                <w:b/>
              </w:rPr>
              <w:t xml:space="preserve">Control ID</w:t>
            </w:r>
          </w:p>
        </w:tc>
        <w:tc>
          <w:tcPr/>
          <w:p>
            <w:pPr>
              <w:pStyle w:val="Compact"/>
              <w:jc w:val="left"/>
            </w:pPr>
            <w:r>
              <w:t xml:space="preserve">SAN-TRX-001, version 1.1</w:t>
            </w:r>
          </w:p>
        </w:tc>
      </w:tr>
      <w:tr>
        <w:trPr>
          <w:cantSplit/>
        </w:trPr>
        <w:tc>
          <w:tcPr/>
          <w:p>
            <w:pPr>
              <w:pStyle w:val="Compact"/>
              <w:jc w:val="left"/>
            </w:pPr>
            <w:r>
              <w:rPr>
                <w:bCs/>
                <w:b/>
              </w:rPr>
              <w:t xml:space="preserve">Control objective</w:t>
            </w:r>
          </w:p>
        </w:tc>
        <w:tc>
          <w:tcPr/>
          <w:p>
            <w:pPr>
              <w:pStyle w:val="Compact"/>
              <w:jc w:val="left"/>
            </w:pPr>
            <w:r>
              <w:t xml:space="preserve">Prevent release of an in-scope payment until required sanctions screening is complete and any potential match is resolved by authorized personnel.</w:t>
            </w:r>
          </w:p>
        </w:tc>
      </w:tr>
    </w:tbl>
    <w:p>
      <w:r>
        <w:br w:type="page"/>
      </w:r>
    </w:p>
    <w:tbl>
      <w:tblPr>
        <w:tblStyle w:val="Table"/>
        <w:tblW w:type="pct" w:w="5000"/>
        <w:tblLook w:firstRow="1" w:lastRow="0" w:firstColumn="0" w:lastColumn="0" w:noHBand="0" w:noVBand="0" w:val="0020"/>
        <w:jc w:val="start"/>
      </w:tblPr>
      <w:tblGrid>
        <w:gridCol w:w="3960"/>
        <w:gridCol w:w="3960"/>
      </w:tblGrid>
      <w:tr>
        <w:trPr>
          <w:tblHeader w:val="true"/>
          <w:cantSplit/>
        </w:trPr>
        <w:tc>
          <w:tcPr/>
          <w:p>
            <w:pPr>
              <w:pStyle w:val="Compact"/>
              <w:jc w:val="left"/>
            </w:pPr>
            <w:r>
              <w:t xml:space="preserve">Field</w:t>
            </w:r>
          </w:p>
        </w:tc>
        <w:tc>
          <w:tcPr/>
          <w:p>
            <w:pPr>
              <w:pStyle w:val="Compact"/>
              <w:jc w:val="left"/>
            </w:pPr>
            <w:r>
              <w:t xml:space="preserve">Definition</w:t>
            </w:r>
          </w:p>
        </w:tc>
      </w:tr>
      <w:tr>
        <w:trPr>
          <w:cantSplit/>
        </w:trPr>
        <w:tc>
          <w:tcPr/>
          <w:p>
            <w:pPr>
              <w:pStyle w:val="Compact"/>
              <w:jc w:val="left"/>
            </w:pPr>
            <w:r>
              <w:rPr>
                <w:bCs/>
                <w:b/>
              </w:rPr>
              <w:t xml:space="preserve">Responsible entity and partner allocation</w:t>
            </w:r>
          </w:p>
        </w:tc>
        <w:tc>
          <w:tcPr/>
          <w:p>
            <w:pPr>
              <w:pStyle w:val="Compact"/>
              <w:jc w:val="left"/>
            </w:pPr>
            <w:r>
              <w:t xml:space="preserve">Identify the legal entity that holds or controls the funds, the party that bears each sanctions obligation, and the division of screening, disposition, reporting, and oversight duties among the fintech, sponsor bank, payments partners, and service providers.</w:t>
            </w:r>
          </w:p>
        </w:tc>
      </w:tr>
      <w:tr>
        <w:trPr>
          <w:cantSplit/>
        </w:trPr>
        <w:tc>
          <w:tcPr/>
          <w:p>
            <w:pPr>
              <w:pStyle w:val="Compact"/>
              <w:jc w:val="left"/>
            </w:pPr>
            <w:r>
              <w:rPr>
                <w:bCs/>
                <w:b/>
              </w:rPr>
              <w:t xml:space="preserve">Scope</w:t>
            </w:r>
          </w:p>
        </w:tc>
        <w:tc>
          <w:tcPr/>
          <w:p>
            <w:pPr>
              <w:pStyle w:val="Compact"/>
              <w:jc w:val="left"/>
            </w:pPr>
            <w:r>
              <w:t xml:space="preserve">Illustrative USD payment flow. Screen the sender, beneficiary, relevant financial institutions, and other parties or data identified by the organization’s risk assessment and applicable sanctions requirements.</w:t>
            </w:r>
          </w:p>
        </w:tc>
      </w:tr>
      <w:tr>
        <w:trPr>
          <w:cantSplit/>
        </w:trPr>
        <w:tc>
          <w:tcPr/>
          <w:p>
            <w:pPr>
              <w:pStyle w:val="Compact"/>
              <w:jc w:val="left"/>
            </w:pPr>
            <w:r>
              <w:rPr>
                <w:bCs/>
                <w:b/>
              </w:rPr>
              <w:t xml:space="preserve">Triggers</w:t>
            </w:r>
          </w:p>
        </w:tc>
        <w:tc>
          <w:tcPr/>
          <w:p>
            <w:pPr>
              <w:pStyle w:val="Compact"/>
              <w:jc w:val="left"/>
            </w:pPr>
            <w:r>
              <w:t xml:space="preserve">Before payment release; when relevant party data changes; when a list update or risk event requires rescreening; and after a screening outage is resolved.</w:t>
            </w:r>
          </w:p>
        </w:tc>
      </w:tr>
      <w:tr>
        <w:trPr>
          <w:cantSplit/>
        </w:trPr>
        <w:tc>
          <w:tcPr/>
          <w:p>
            <w:pPr>
              <w:pStyle w:val="Compact"/>
              <w:jc w:val="left"/>
            </w:pPr>
            <w:r>
              <w:rPr>
                <w:bCs/>
                <w:b/>
              </w:rPr>
              <w:t xml:space="preserve">Inputs</w:t>
            </w:r>
          </w:p>
        </w:tc>
        <w:tc>
          <w:tcPr/>
          <w:p>
            <w:pPr>
              <w:pStyle w:val="Compact"/>
              <w:jc w:val="left"/>
            </w:pPr>
            <w:r>
              <w:t xml:space="preserve">Names and aliases, addresses, country information, dates of birth or incorporation when available, identifiers including Business Identifier Codes, ownership and control information, bank data, intermediaries, payment narrative, relevant activity or jurisdiction restrictions, and license or exemption evidence when applicable.</w:t>
            </w:r>
          </w:p>
        </w:tc>
      </w:tr>
      <w:tr>
        <w:trPr>
          <w:cantSplit/>
        </w:trPr>
        <w:tc>
          <w:tcPr/>
          <w:p>
            <w:pPr>
              <w:pStyle w:val="Compact"/>
              <w:jc w:val="left"/>
            </w:pPr>
            <w:r>
              <w:rPr>
                <w:bCs/>
                <w:b/>
              </w:rPr>
              <w:t xml:space="preserve">Data-field mapping</w:t>
            </w:r>
          </w:p>
        </w:tc>
        <w:tc>
          <w:tcPr/>
          <w:p>
            <w:pPr>
              <w:pStyle w:val="Compact"/>
              <w:jc w:val="left"/>
            </w:pPr>
            <w:r>
              <w:t xml:space="preserve">A maintained, versioned map from each required input to its source system and to the field sent in the screening request, with a named owner. Any required field that is missing or truncated creates an exception.</w:t>
            </w:r>
          </w:p>
        </w:tc>
      </w:tr>
      <w:tr>
        <w:trPr>
          <w:cantSplit/>
        </w:trPr>
        <w:tc>
          <w:tcPr/>
          <w:p>
            <w:pPr>
              <w:pStyle w:val="Compact"/>
              <w:jc w:val="left"/>
            </w:pPr>
            <w:r>
              <w:rPr>
                <w:bCs/>
                <w:b/>
              </w:rPr>
              <w:t xml:space="preserve">Ownership review</w:t>
            </w:r>
          </w:p>
        </w:tc>
        <w:tc>
          <w:tcPr/>
          <w:p>
            <w:pPr>
              <w:pStyle w:val="Compact"/>
              <w:jc w:val="left"/>
            </w:pPr>
            <w:r>
              <w:t xml:space="preserve">Entities owned 50 percent or more, directly or indirectly, individually or in the aggregate, by one or more blocked persons are themselves blocked [4]. Ownership information collected during onboarding is reviewed against that rule, because name screening alone will miss an unlisted owned entity.</w:t>
            </w:r>
          </w:p>
        </w:tc>
      </w:tr>
    </w:tbl>
    <w:p>
      <w:r>
        <w:br w:type="page"/>
      </w:r>
    </w:p>
    <w:tbl>
      <w:tblPr>
        <w:tblStyle w:val="Table"/>
        <w:tblW w:type="pct" w:w="5000"/>
        <w:tblLook w:firstRow="1" w:lastRow="0" w:firstColumn="0" w:lastColumn="0" w:noHBand="0" w:noVBand="0" w:val="0020"/>
        <w:jc w:val="start"/>
      </w:tblPr>
      <w:tblGrid>
        <w:gridCol w:w="3960"/>
        <w:gridCol w:w="3960"/>
      </w:tblGrid>
      <w:tr>
        <w:trPr>
          <w:tblHeader w:val="true"/>
          <w:cantSplit/>
        </w:trPr>
        <w:tc>
          <w:tcPr>
            <w:tcMar>
              <w:left w:w="30" w:type="dxa"/>
              <w:right w:w="70" w:type="dxa"/>
            </w:tcMar>
          </w:tcPr>
          <w:p>
            <w:pPr>
              <w:pStyle w:val="Compact"/>
              <w:jc w:val="left"/>
            </w:pPr>
            <w:r>
              <w:t xml:space="preserve">Field</w:t>
            </w:r>
          </w:p>
        </w:tc>
        <w:tc>
          <w:tcPr>
            <w:tcMar>
              <w:left w:w="70" w:type="dxa"/>
              <w:right w:w="70" w:type="dxa"/>
            </w:tcMar>
          </w:tcPr>
          <w:p>
            <w:pPr>
              <w:pStyle w:val="Compact"/>
              <w:jc w:val="left"/>
            </w:pPr>
            <w:r>
              <w:t xml:space="preserve">Definition</w:t>
            </w:r>
          </w:p>
        </w:tc>
      </w:tr>
      <w:tr>
        <w:trPr>
          <w:cantSplit/>
        </w:trPr>
        <w:tc>
          <w:tcPr>
            <w:tcMar>
              <w:left w:w="30" w:type="dxa"/>
              <w:right w:w="70" w:type="dxa"/>
            </w:tcMar>
          </w:tcPr>
          <w:p>
            <w:pPr>
              <w:pStyle w:val="Compact"/>
              <w:jc w:val="left"/>
            </w:pPr>
            <w:r>
              <w:rPr>
                <w:bCs/>
                <w:b/>
              </w:rPr>
              <w:t xml:space="preserve">Decision logic</w:t>
            </w:r>
          </w:p>
        </w:tc>
        <w:tc>
          <w:tcPr>
            <w:tcMar>
              <w:left w:w="70" w:type="dxa"/>
              <w:right w:w="70" w:type="dxa"/>
            </w:tcMar>
          </w:tcPr>
          <w:p>
            <w:pPr>
              <w:pStyle w:val="Compact"/>
              <w:jc w:val="left"/>
            </w:pPr>
            <w:r>
              <w:t xml:space="preserve">A payment may proceed only after screening completes, no alert remains open, and required ownership, jurisdiction, activity, license, and exemption checks are complete. A potential match creates a hold and a case. Match evaluation follows OFAC’s published sequence [2]. Release requires documented resolution and approval by a person other than the recommending analyst.</w:t>
            </w:r>
          </w:p>
        </w:tc>
      </w:tr>
      <w:tr>
        <w:trPr>
          <w:cantSplit/>
        </w:trPr>
        <w:tc>
          <w:tcPr>
            <w:tcMar>
              <w:left w:w="30" w:type="dxa"/>
              <w:right w:w="70" w:type="dxa"/>
            </w:tcMar>
          </w:tcPr>
          <w:p>
            <w:pPr>
              <w:pStyle w:val="Compact"/>
              <w:jc w:val="left"/>
            </w:pPr>
            <w:r>
              <w:rPr>
                <w:bCs/>
                <w:b/>
              </w:rPr>
              <w:t xml:space="preserve">System enforcement</w:t>
            </w:r>
          </w:p>
        </w:tc>
        <w:tc>
          <w:tcPr>
            <w:tcMar>
              <w:left w:w="70" w:type="dxa"/>
              <w:right w:w="70" w:type="dxa"/>
            </w:tcMar>
          </w:tcPr>
          <w:p>
            <w:pPr>
              <w:pStyle w:val="Compact"/>
              <w:jc w:val="left"/>
            </w:pPr>
            <w:r>
              <w:t xml:space="preserve">The payments platform enforces the hold. No user role can release a payment while its case is open. Any attempted release during a hold is blocked and logged.</w:t>
            </w:r>
          </w:p>
        </w:tc>
      </w:tr>
      <w:tr>
        <w:trPr>
          <w:cantSplit/>
        </w:trPr>
        <w:tc>
          <w:tcPr>
            <w:tcMar>
              <w:left w:w="30" w:type="dxa"/>
              <w:right w:w="70" w:type="dxa"/>
            </w:tcMar>
          </w:tcPr>
          <w:p>
            <w:pPr>
              <w:pStyle w:val="Compact"/>
              <w:jc w:val="left"/>
            </w:pPr>
            <w:r>
              <w:rPr>
                <w:bCs/>
                <w:b/>
              </w:rPr>
              <w:t xml:space="preserve">Exception paths</w:t>
            </w:r>
          </w:p>
        </w:tc>
        <w:tc>
          <w:tcPr>
            <w:tcMar>
              <w:left w:w="70" w:type="dxa"/>
              <w:right w:w="70" w:type="dxa"/>
            </w:tcMar>
          </w:tcPr>
          <w:p>
            <w:pPr>
              <w:pStyle w:val="Compact"/>
              <w:jc w:val="left"/>
            </w:pPr>
            <w:r>
              <w:t xml:space="preserve">Incomplete or truncated data; unavailable screening service; stale list data; potential match; confirmed match; prohibited destination; queue backlog; configuration change in flight; and attempted manual override. Each path names what stays held, who is notified, the time limit, and the escalation owner.</w:t>
            </w:r>
          </w:p>
        </w:tc>
      </w:tr>
      <w:tr>
        <w:trPr>
          <w:cantSplit/>
        </w:trPr>
        <w:tc>
          <w:tcPr>
            <w:tcMar>
              <w:left w:w="30" w:type="dxa"/>
              <w:right w:w="70" w:type="dxa"/>
            </w:tcMar>
          </w:tcPr>
          <w:p>
            <w:pPr>
              <w:pStyle w:val="Compact"/>
              <w:jc w:val="left"/>
            </w:pPr>
            <w:r>
              <w:rPr>
                <w:bCs/>
                <w:b/>
              </w:rPr>
              <w:t xml:space="preserve">Operating owner</w:t>
            </w:r>
          </w:p>
        </w:tc>
        <w:tc>
          <w:tcPr>
            <w:tcMar>
              <w:left w:w="70" w:type="dxa"/>
              <w:right w:w="70" w:type="dxa"/>
            </w:tcMar>
          </w:tcPr>
          <w:p>
            <w:pPr>
              <w:pStyle w:val="Compact"/>
              <w:jc w:val="left"/>
            </w:pPr>
            <w:r>
              <w:t xml:space="preserve">Payments Operations monitors holds, works exceptions, manages backlog, and escalates outages.</w:t>
            </w:r>
          </w:p>
        </w:tc>
      </w:tr>
      <w:tr>
        <w:trPr>
          <w:cantSplit/>
        </w:trPr>
        <w:tc>
          <w:tcPr>
            <w:tcMar>
              <w:left w:w="30" w:type="dxa"/>
              <w:right w:w="70" w:type="dxa"/>
            </w:tcMar>
          </w:tcPr>
          <w:p>
            <w:pPr>
              <w:pStyle w:val="Compact"/>
              <w:jc w:val="left"/>
            </w:pPr>
            <w:r>
              <w:rPr>
                <w:bCs/>
                <w:b/>
              </w:rPr>
              <w:t xml:space="preserve">Compliance owner</w:t>
            </w:r>
          </w:p>
        </w:tc>
        <w:tc>
          <w:tcPr>
            <w:tcMar>
              <w:left w:w="70" w:type="dxa"/>
              <w:right w:w="70" w:type="dxa"/>
            </w:tcMar>
          </w:tcPr>
          <w:p>
            <w:pPr>
              <w:pStyle w:val="Compact"/>
              <w:jc w:val="left"/>
            </w:pPr>
            <w:r>
              <w:t xml:space="preserve">Sanctions Compliance owns risk interpretation, list and rule requirements, thresholds, escalation standards, and disposition authority defined by policy.</w:t>
            </w:r>
          </w:p>
        </w:tc>
      </w:tr>
      <w:tr>
        <w:trPr>
          <w:cantSplit/>
        </w:trPr>
        <w:tc>
          <w:tcPr>
            <w:tcMar>
              <w:left w:w="30" w:type="dxa"/>
              <w:right w:w="70" w:type="dxa"/>
            </w:tcMar>
          </w:tcPr>
          <w:p>
            <w:pPr>
              <w:pStyle w:val="Compact"/>
              <w:jc w:val="left"/>
            </w:pPr>
            <w:r>
              <w:rPr>
                <w:bCs/>
                <w:b/>
              </w:rPr>
              <w:t xml:space="preserve">Disposition handoff</w:t>
            </w:r>
          </w:p>
        </w:tc>
        <w:tc>
          <w:tcPr>
            <w:tcMar>
              <w:left w:w="70" w:type="dxa"/>
              <w:right w:w="70" w:type="dxa"/>
            </w:tcMar>
          </w:tcPr>
          <w:p>
            <w:pPr>
              <w:pStyle w:val="Compact"/>
              <w:jc w:val="left"/>
            </w:pPr>
            <w:r>
              <w:t xml:space="preserve">A block, rejection, unblocking, or licensed transaction routes to the required reporting, blocked-property administration, recordkeeping, licensing, customer-communication, or follow-up control, with a named owner and due date. Reports of blocked property and of rejected transactions are due within 10 business days, and blocked property held as of June 30 is reported annually by September 30 [6][7].</w:t>
            </w:r>
          </w:p>
        </w:tc>
      </w:tr>
    </w:tbl>
    <w:p>
      <w:r>
        <w:br w:type="page"/>
      </w:r>
    </w:p>
    <w:tbl>
      <w:tblPr>
        <w:tblStyle w:val="Table"/>
        <w:tblW w:type="pct" w:w="5000"/>
        <w:tblLook w:firstRow="1" w:lastRow="0" w:firstColumn="0" w:lastColumn="0" w:noHBand="0" w:noVBand="0" w:val="0020"/>
        <w:jc w:val="start"/>
      </w:tblPr>
      <w:tblGrid>
        <w:gridCol w:w="3960"/>
        <w:gridCol w:w="3960"/>
      </w:tblGrid>
      <w:tr>
        <w:trPr>
          <w:tblHeader w:val="true"/>
          <w:cantSplit/>
        </w:trPr>
        <w:tc>
          <w:tcPr>
            <w:tcMar>
              <w:left w:w="30" w:type="dxa"/>
              <w:right w:w="70" w:type="dxa"/>
            </w:tcMar>
          </w:tcPr>
          <w:p>
            <w:pPr>
              <w:pStyle w:val="Compact"/>
              <w:jc w:val="left"/>
            </w:pPr>
            <w:r>
              <w:t xml:space="preserve">Field</w:t>
            </w:r>
          </w:p>
        </w:tc>
        <w:tc>
          <w:tcPr>
            <w:tcMar>
              <w:left w:w="70" w:type="dxa"/>
              <w:right w:w="70" w:type="dxa"/>
            </w:tcMar>
          </w:tcPr>
          <w:p>
            <w:pPr>
              <w:pStyle w:val="Compact"/>
              <w:jc w:val="left"/>
            </w:pPr>
            <w:r>
              <w:t xml:space="preserve">Definition</w:t>
            </w:r>
          </w:p>
        </w:tc>
      </w:tr>
      <w:tr>
        <w:trPr>
          <w:cantSplit/>
        </w:trPr>
        <w:tc>
          <w:tcPr>
            <w:tcMar>
              <w:left w:w="30" w:type="dxa"/>
              <w:right w:w="70" w:type="dxa"/>
            </w:tcMar>
          </w:tcPr>
          <w:p>
            <w:pPr>
              <w:pStyle w:val="Compact"/>
              <w:jc w:val="left"/>
            </w:pPr>
            <w:r>
              <w:rPr>
                <w:bCs/>
                <w:b/>
              </w:rPr>
              <w:t xml:space="preserve">Evidence and retention</w:t>
            </w:r>
          </w:p>
        </w:tc>
        <w:tc>
          <w:tcPr>
            <w:tcMar>
              <w:left w:w="70" w:type="dxa"/>
              <w:right w:w="70" w:type="dxa"/>
            </w:tcMar>
          </w:tcPr>
          <w:p>
            <w:pPr>
              <w:pStyle w:val="Compact"/>
              <w:jc w:val="left"/>
            </w:pPr>
            <w:r>
              <w:t xml:space="preserve">The evidence package below is retained for at least 10 years after the transaction, and blocked-property records for the blocking period plus at least 10 years after unblocking [5].</w:t>
            </w:r>
          </w:p>
        </w:tc>
      </w:tr>
      <w:tr>
        <w:trPr>
          <w:cantSplit/>
        </w:trPr>
        <w:tc>
          <w:tcPr>
            <w:tcMar>
              <w:left w:w="30" w:type="dxa"/>
              <w:right w:w="70" w:type="dxa"/>
            </w:tcMar>
          </w:tcPr>
          <w:p>
            <w:pPr>
              <w:pStyle w:val="Compact"/>
              <w:jc w:val="left"/>
            </w:pPr>
            <w:r>
              <w:rPr>
                <w:bCs/>
                <w:b/>
              </w:rPr>
              <w:t xml:space="preserve">Quality and testing</w:t>
            </w:r>
          </w:p>
        </w:tc>
        <w:tc>
          <w:tcPr>
            <w:tcMar>
              <w:left w:w="70" w:type="dxa"/>
              <w:right w:w="70" w:type="dxa"/>
            </w:tcMar>
          </w:tcPr>
          <w:p>
            <w:pPr>
              <w:pStyle w:val="Compact"/>
              <w:jc w:val="left"/>
            </w:pPr>
            <w:r>
              <w:t xml:space="preserve">Quality review samples completed cases and dispositions. Detection testing runs after every threshold, list-loading, or material configuration change. Independent testing evaluates design and operating effectiveness using qualified personnel who are independent of the function under review [10].</w:t>
            </w:r>
          </w:p>
        </w:tc>
      </w:tr>
    </w:tbl>
    <w:bookmarkEnd w:id="25"/>
    <w:bookmarkEnd w:id="26"/>
    <w:bookmarkStart w:id="28" w:name="illustrative-record"/>
    <w:p>
      <w:pPr>
        <w:pStyle w:val="Heading2"/>
      </w:pPr>
      <w:r>
        <w:t xml:space="preserve">Illustrative record</w:t>
      </w:r>
    </w:p>
    <w:bookmarkStart w:id="27" w:name="one-alert-reconstructed"/>
    <w:p>
      <w:pPr>
        <w:pStyle w:val="Heading3"/>
      </w:pPr>
      <w:r>
        <w:t xml:space="preserve">One alert, reconstructed</w:t>
      </w:r>
    </w:p>
    <w:p>
      <w:pPr>
        <w:pStyle w:val="FirstParagraph"/>
      </w:pPr>
      <w:r>
        <w:t xml:space="preserve">All names, identifiers, and values below are fictional. They show the chain of evidence a reviewer should be able to follow.</w:t>
      </w:r>
    </w:p>
    <w:p>
      <w:pPr>
        <w:pStyle w:val="BodyText"/>
      </w:pPr>
      <w:r>
        <w:rPr>
          <w:bCs/>
          <w:b/>
        </w:rPr>
        <w:t xml:space="preserve">Record DEMO-SAN-2026-001</w:t>
      </w:r>
      <w:r>
        <w:t xml:space="preserve"> </w:t>
      </w:r>
      <w:r>
        <w:t xml:space="preserve">· Listed entry used in this example: TEST-LIST-0417,</w:t>
      </w:r>
      <w:r>
        <w:t xml:space="preserve"> </w:t>
      </w:r>
      <w:r>
        <w:t xml:space="preserve">“</w:t>
      </w:r>
      <w:r>
        <w:t xml:space="preserve">Marek OSTRAVIN</w:t>
      </w:r>
      <w:r>
        <w:t xml:space="preserve">”</w:t>
      </w:r>
      <w:r>
        <w:t xml:space="preserve"> </w:t>
      </w:r>
      <w:r>
        <w:t xml:space="preserve">(fictional)</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cantSplit/>
        </w:trPr>
        <w:tc>
          <w:tcPr>
            <w:tcMar>
              <w:left w:w="30" w:type="dxa"/>
              <w:right w:w="70" w:type="dxa"/>
            </w:tcMar>
          </w:tcPr>
          <w:p>
            <w:pPr>
              <w:pStyle w:val="Compact"/>
              <w:jc w:val="left"/>
            </w:pPr>
            <w:r>
              <w:t xml:space="preserve">Time (UTC)</w:t>
            </w:r>
          </w:p>
        </w:tc>
        <w:tc>
          <w:tcPr>
            <w:tcMar>
              <w:left w:w="70" w:type="dxa"/>
              <w:right w:w="70" w:type="dxa"/>
            </w:tcMar>
          </w:tcPr>
          <w:p>
            <w:pPr>
              <w:pStyle w:val="Compact"/>
              <w:jc w:val="left"/>
            </w:pPr>
            <w:r>
              <w:t xml:space="preserve">Event</w:t>
            </w:r>
          </w:p>
        </w:tc>
        <w:tc>
          <w:tcPr>
            <w:tcMar>
              <w:left w:w="70" w:type="dxa"/>
              <w:right w:w="70" w:type="dxa"/>
            </w:tcMar>
          </w:tcPr>
          <w:p>
            <w:pPr>
              <w:pStyle w:val="Compact"/>
              <w:jc w:val="left"/>
            </w:pPr>
            <w:r>
              <w:t xml:space="preserve">Actor</w:t>
            </w:r>
          </w:p>
        </w:tc>
        <w:tc>
          <w:tcPr>
            <w:tcMar>
              <w:left w:w="70" w:type="dxa"/>
              <w:right w:w="70" w:type="dxa"/>
            </w:tcMar>
          </w:tcPr>
          <w:p>
            <w:pPr>
              <w:pStyle w:val="Compact"/>
              <w:jc w:val="left"/>
            </w:pPr>
            <w:r>
              <w:t xml:space="preserve">Recorded values</w:t>
            </w:r>
          </w:p>
        </w:tc>
      </w:tr>
      <w:tr>
        <w:trPr>
          <w:cantSplit/>
        </w:trPr>
        <w:tc>
          <w:tcPr>
            <w:tcMar>
              <w:left w:w="30" w:type="dxa"/>
              <w:right w:w="70" w:type="dxa"/>
            </w:tcMar>
          </w:tcPr>
          <w:p>
            <w:pPr>
              <w:pStyle w:val="Compact"/>
              <w:jc w:val="left"/>
            </w:pPr>
            <w:r>
              <w:t xml:space="preserve">2026-03-04 02:17:06</w:t>
            </w:r>
          </w:p>
        </w:tc>
        <w:tc>
          <w:tcPr>
            <w:tcMar>
              <w:left w:w="70" w:type="dxa"/>
              <w:right w:w="70" w:type="dxa"/>
            </w:tcMar>
          </w:tcPr>
          <w:p>
            <w:pPr>
              <w:pStyle w:val="Compact"/>
              <w:jc w:val="left"/>
            </w:pPr>
            <w:r>
              <w:t xml:space="preserve">Payment instruction received</w:t>
            </w:r>
          </w:p>
        </w:tc>
        <w:tc>
          <w:tcPr>
            <w:tcMar>
              <w:left w:w="70" w:type="dxa"/>
              <w:right w:w="70" w:type="dxa"/>
            </w:tcMar>
          </w:tcPr>
          <w:p>
            <w:pPr>
              <w:pStyle w:val="Compact"/>
              <w:jc w:val="left"/>
            </w:pPr>
            <w:r>
              <w:t xml:space="preserve">Payments platform</w:t>
            </w:r>
          </w:p>
        </w:tc>
        <w:tc>
          <w:tcPr>
            <w:tcMar>
              <w:left w:w="70" w:type="dxa"/>
              <w:right w:w="70" w:type="dxa"/>
            </w:tcMar>
          </w:tcPr>
          <w:p>
            <w:pPr>
              <w:pStyle w:val="Compact"/>
              <w:jc w:val="left"/>
            </w:pPr>
            <w:r>
              <w:t xml:space="preserve">Payment DEMO-PMT-88213; USD 4,850.00; first payment to this beneficiary</w:t>
            </w:r>
          </w:p>
        </w:tc>
      </w:tr>
      <w:tr>
        <w:trPr>
          <w:cantSplit/>
        </w:trPr>
        <w:tc>
          <w:tcPr>
            <w:tcMar>
              <w:left w:w="30" w:type="dxa"/>
              <w:right w:w="70" w:type="dxa"/>
            </w:tcMar>
          </w:tcPr>
          <w:p>
            <w:pPr>
              <w:pStyle w:val="Compact"/>
              <w:jc w:val="left"/>
            </w:pPr>
            <w:r>
              <w:t xml:space="preserve">02:17:07</w:t>
            </w:r>
          </w:p>
        </w:tc>
        <w:tc>
          <w:tcPr>
            <w:tcMar>
              <w:left w:w="70" w:type="dxa"/>
              <w:right w:w="70" w:type="dxa"/>
            </w:tcMar>
          </w:tcPr>
          <w:p>
            <w:pPr>
              <w:pStyle w:val="Compact"/>
              <w:jc w:val="left"/>
            </w:pPr>
            <w:r>
              <w:t xml:space="preserve">Screening request sent</w:t>
            </w:r>
          </w:p>
        </w:tc>
        <w:tc>
          <w:tcPr>
            <w:tcMar>
              <w:left w:w="70" w:type="dxa"/>
              <w:right w:w="70" w:type="dxa"/>
            </w:tcMar>
          </w:tcPr>
          <w:p>
            <w:pPr>
              <w:pStyle w:val="Compact"/>
              <w:jc w:val="left"/>
            </w:pPr>
            <w:r>
              <w:t xml:space="preserve">Payments platform</w:t>
            </w:r>
          </w:p>
        </w:tc>
        <w:tc>
          <w:tcPr>
            <w:tcMar>
              <w:left w:w="70" w:type="dxa"/>
              <w:right w:w="70" w:type="dxa"/>
            </w:tcMar>
          </w:tcPr>
          <w:p>
            <w:pPr>
              <w:pStyle w:val="Compact"/>
              <w:jc w:val="left"/>
            </w:pPr>
            <w:r>
              <w:t xml:space="preserve">Request REQ-5530917; fields sent: sender name, beneficiary name, beneficiary address, beneficiary bank BIC, payment narrative; field map version FM-6</w:t>
            </w:r>
          </w:p>
        </w:tc>
      </w:tr>
      <w:tr>
        <w:trPr>
          <w:cantSplit/>
        </w:trPr>
        <w:tc>
          <w:tcPr>
            <w:tcMar>
              <w:left w:w="30" w:type="dxa"/>
              <w:right w:w="70" w:type="dxa"/>
            </w:tcMar>
          </w:tcPr>
          <w:p>
            <w:pPr>
              <w:pStyle w:val="Compact"/>
              <w:jc w:val="left"/>
            </w:pPr>
            <w:r>
              <w:t xml:space="preserve">02:17:08</w:t>
            </w:r>
          </w:p>
        </w:tc>
        <w:tc>
          <w:tcPr>
            <w:tcMar>
              <w:left w:w="70" w:type="dxa"/>
              <w:right w:w="70" w:type="dxa"/>
            </w:tcMar>
          </w:tcPr>
          <w:p>
            <w:pPr>
              <w:pStyle w:val="Compact"/>
              <w:jc w:val="left"/>
            </w:pPr>
            <w:r>
              <w:t xml:space="preserve">Screening result returned</w:t>
            </w:r>
          </w:p>
        </w:tc>
        <w:tc>
          <w:tcPr>
            <w:tcMar>
              <w:left w:w="70" w:type="dxa"/>
              <w:right w:w="70" w:type="dxa"/>
            </w:tcMar>
          </w:tcPr>
          <w:p>
            <w:pPr>
              <w:pStyle w:val="Compact"/>
              <w:jc w:val="left"/>
            </w:pPr>
            <w:r>
              <w:t xml:space="preserve">Screening service</w:t>
            </w:r>
          </w:p>
        </w:tc>
        <w:tc>
          <w:tcPr>
            <w:tcMar>
              <w:left w:w="70" w:type="dxa"/>
              <w:right w:w="70" w:type="dxa"/>
            </w:tcMar>
          </w:tcPr>
          <w:p>
            <w:pPr>
              <w:pStyle w:val="Compact"/>
              <w:jc w:val="left"/>
            </w:pPr>
            <w:r>
              <w:t xml:space="preserve">List data version 2026-03-03; configuration CFG-14; threshold 0.85; beneficiary name</w:t>
            </w:r>
            <w:r>
              <w:t xml:space="preserve"> </w:t>
            </w:r>
            <w:r>
              <w:t xml:space="preserve">“</w:t>
            </w:r>
            <w:r>
              <w:t xml:space="preserve">Marek Ostravin</w:t>
            </w:r>
            <w:r>
              <w:t xml:space="preserve">”</w:t>
            </w:r>
            <w:r>
              <w:t xml:space="preserve"> </w:t>
            </w:r>
            <w:r>
              <w:t xml:space="preserve">scored 0.91 against TEST-LIST-0417</w:t>
            </w:r>
          </w:p>
        </w:tc>
      </w:tr>
      <w:tr>
        <w:trPr>
          <w:cantSplit/>
        </w:trPr>
        <w:tc>
          <w:tcPr>
            <w:tcMar>
              <w:left w:w="30" w:type="dxa"/>
              <w:right w:w="70" w:type="dxa"/>
            </w:tcMar>
          </w:tcPr>
          <w:p>
            <w:pPr>
              <w:pStyle w:val="Compact"/>
              <w:jc w:val="left"/>
            </w:pPr>
            <w:r>
              <w:t xml:space="preserve">02:17:08</w:t>
            </w:r>
          </w:p>
        </w:tc>
        <w:tc>
          <w:tcPr>
            <w:tcMar>
              <w:left w:w="70" w:type="dxa"/>
              <w:right w:w="70" w:type="dxa"/>
            </w:tcMar>
          </w:tcPr>
          <w:p>
            <w:pPr>
              <w:pStyle w:val="Compact"/>
              <w:jc w:val="left"/>
            </w:pPr>
            <w:r>
              <w:t xml:space="preserve">Hold applied and case opened</w:t>
            </w:r>
          </w:p>
        </w:tc>
        <w:tc>
          <w:tcPr>
            <w:tcMar>
              <w:left w:w="70" w:type="dxa"/>
              <w:right w:w="70" w:type="dxa"/>
            </w:tcMar>
          </w:tcPr>
          <w:p>
            <w:pPr>
              <w:pStyle w:val="Compact"/>
              <w:jc w:val="left"/>
            </w:pPr>
            <w:r>
              <w:t xml:space="preserve">Payments platform</w:t>
            </w:r>
          </w:p>
        </w:tc>
        <w:tc>
          <w:tcPr>
            <w:tcMar>
              <w:left w:w="70" w:type="dxa"/>
              <w:right w:w="70" w:type="dxa"/>
            </w:tcMar>
          </w:tcPr>
          <w:p>
            <w:pPr>
              <w:pStyle w:val="Compact"/>
              <w:jc w:val="left"/>
            </w:pPr>
            <w:r>
              <w:t xml:space="preserve">Case DEMO-SAN-2026-001; release disabled while case status is OPEN</w:t>
            </w:r>
          </w:p>
        </w:tc>
      </w:tr>
      <w:tr>
        <w:trPr>
          <w:cantSplit/>
        </w:trPr>
        <w:tc>
          <w:tcPr>
            <w:tcMar>
              <w:left w:w="30" w:type="dxa"/>
              <w:right w:w="70" w:type="dxa"/>
            </w:tcMar>
          </w:tcPr>
          <w:p>
            <w:pPr>
              <w:pStyle w:val="Compact"/>
              <w:jc w:val="left"/>
            </w:pPr>
            <w:r>
              <w:t xml:space="preserve">08:42:15</w:t>
            </w:r>
          </w:p>
        </w:tc>
        <w:tc>
          <w:tcPr>
            <w:tcMar>
              <w:left w:w="70" w:type="dxa"/>
              <w:right w:w="70" w:type="dxa"/>
            </w:tcMar>
          </w:tcPr>
          <w:p>
            <w:pPr>
              <w:pStyle w:val="Compact"/>
              <w:jc w:val="left"/>
            </w:pPr>
            <w:r>
              <w:t xml:space="preserve">Match evaluation</w:t>
            </w:r>
          </w:p>
        </w:tc>
        <w:tc>
          <w:tcPr>
            <w:tcMar>
              <w:left w:w="70" w:type="dxa"/>
              <w:right w:w="70" w:type="dxa"/>
            </w:tcMar>
          </w:tcPr>
          <w:p>
            <w:pPr>
              <w:pStyle w:val="Compact"/>
              <w:jc w:val="left"/>
            </w:pPr>
            <w:r>
              <w:t xml:space="preserve">Analyst U-2231</w:t>
            </w:r>
          </w:p>
        </w:tc>
        <w:tc>
          <w:tcPr>
            <w:tcMar>
              <w:left w:w="70" w:type="dxa"/>
              <w:right w:w="70" w:type="dxa"/>
            </w:tcMar>
          </w:tcPr>
          <w:p>
            <w:pPr>
              <w:pStyle w:val="Compact"/>
              <w:jc w:val="left"/>
            </w:pPr>
            <w:r>
              <w:t xml:space="preserve">Listing date of birth 1961 against verified beneficiary date of birth 1994; listing nationality Country A against beneficiary passport from Country B; listing address and beneficiary address in different countries; no listing identifier matches</w:t>
            </w:r>
          </w:p>
        </w:tc>
      </w:tr>
      <w:tr>
        <w:trPr>
          <w:cantSplit/>
        </w:trPr>
        <w:tc>
          <w:tcPr>
            <w:tcMar>
              <w:left w:w="30" w:type="dxa"/>
              <w:right w:w="70" w:type="dxa"/>
            </w:tcMar>
          </w:tcPr>
          <w:p>
            <w:pPr>
              <w:pStyle w:val="Compact"/>
              <w:jc w:val="left"/>
            </w:pPr>
            <w:r>
              <w:t xml:space="preserve">08:51:40</w:t>
            </w:r>
          </w:p>
        </w:tc>
        <w:tc>
          <w:tcPr>
            <w:tcMar>
              <w:left w:w="70" w:type="dxa"/>
              <w:right w:w="70" w:type="dxa"/>
            </w:tcMar>
          </w:tcPr>
          <w:p>
            <w:pPr>
              <w:pStyle w:val="Compact"/>
              <w:jc w:val="left"/>
            </w:pPr>
            <w:r>
              <w:t xml:space="preserve">Recommendation submitted</w:t>
            </w:r>
          </w:p>
        </w:tc>
        <w:tc>
          <w:tcPr>
            <w:tcMar>
              <w:left w:w="70" w:type="dxa"/>
              <w:right w:w="70" w:type="dxa"/>
            </w:tcMar>
          </w:tcPr>
          <w:p>
            <w:pPr>
              <w:pStyle w:val="Compact"/>
              <w:jc w:val="left"/>
            </w:pPr>
            <w:r>
              <w:t xml:space="preserve">Analyst U-2231</w:t>
            </w:r>
          </w:p>
        </w:tc>
        <w:tc>
          <w:tcPr>
            <w:tcMar>
              <w:left w:w="70" w:type="dxa"/>
              <w:right w:w="70" w:type="dxa"/>
            </w:tcMar>
          </w:tcPr>
          <w:p>
            <w:pPr>
              <w:pStyle w:val="Compact"/>
              <w:jc w:val="left"/>
            </w:pPr>
            <w:r>
              <w:t xml:space="preserve">Recommendation: not a valid match; comparison worksheet and identity document references attached</w:t>
            </w:r>
          </w:p>
        </w:tc>
      </w:tr>
      <w:tr>
        <w:trPr>
          <w:cantSplit/>
        </w:trPr>
        <w:tc>
          <w:tcPr>
            <w:tcMar>
              <w:left w:w="30" w:type="dxa"/>
              <w:right w:w="70" w:type="dxa"/>
            </w:tcMar>
          </w:tcPr>
          <w:p>
            <w:pPr>
              <w:pStyle w:val="Compact"/>
              <w:jc w:val="left"/>
            </w:pPr>
            <w:r>
              <w:t xml:space="preserve">09:30:02</w:t>
            </w:r>
          </w:p>
        </w:tc>
        <w:tc>
          <w:tcPr>
            <w:tcMar>
              <w:left w:w="70" w:type="dxa"/>
              <w:right w:w="70" w:type="dxa"/>
            </w:tcMar>
          </w:tcPr>
          <w:p>
            <w:pPr>
              <w:pStyle w:val="Compact"/>
              <w:jc w:val="left"/>
            </w:pPr>
            <w:r>
              <w:t xml:space="preserve">Release attempted during hold</w:t>
            </w:r>
          </w:p>
        </w:tc>
        <w:tc>
          <w:tcPr>
            <w:tcMar>
              <w:left w:w="70" w:type="dxa"/>
              <w:right w:w="70" w:type="dxa"/>
            </w:tcMar>
          </w:tcPr>
          <w:p>
            <w:pPr>
              <w:pStyle w:val="Compact"/>
              <w:jc w:val="left"/>
            </w:pPr>
            <w:r>
              <w:t xml:space="preserve">Payments user U-1187</w:t>
            </w:r>
          </w:p>
        </w:tc>
        <w:tc>
          <w:tcPr>
            <w:tcMar>
              <w:left w:w="70" w:type="dxa"/>
              <w:right w:w="70" w:type="dxa"/>
            </w:tcMar>
          </w:tcPr>
          <w:p>
            <w:pPr>
              <w:pStyle w:val="Compact"/>
              <w:jc w:val="left"/>
            </w:pPr>
            <w:r>
              <w:t xml:space="preserve">Blocked by system; logged as attempted release during hold; included in monthly metrics</w:t>
            </w:r>
          </w:p>
        </w:tc>
      </w:tr>
      <w:tr>
        <w:trPr>
          <w:cantSplit/>
        </w:trPr>
        <w:tc>
          <w:tcPr>
            <w:tcMar>
              <w:left w:w="30" w:type="dxa"/>
              <w:right w:w="70" w:type="dxa"/>
            </w:tcMar>
          </w:tcPr>
          <w:p>
            <w:pPr>
              <w:pStyle w:val="Compact"/>
              <w:jc w:val="left"/>
            </w:pPr>
            <w:r>
              <w:t xml:space="preserve">10:05:33</w:t>
            </w:r>
          </w:p>
        </w:tc>
        <w:tc>
          <w:tcPr>
            <w:tcMar>
              <w:left w:w="70" w:type="dxa"/>
              <w:right w:w="70" w:type="dxa"/>
            </w:tcMar>
          </w:tcPr>
          <w:p>
            <w:pPr>
              <w:pStyle w:val="Compact"/>
              <w:jc w:val="left"/>
            </w:pPr>
            <w:r>
              <w:t xml:space="preserve">Disposition approved</w:t>
            </w:r>
          </w:p>
        </w:tc>
        <w:tc>
          <w:tcPr>
            <w:tcMar>
              <w:left w:w="70" w:type="dxa"/>
              <w:right w:w="70" w:type="dxa"/>
            </w:tcMar>
          </w:tcPr>
          <w:p>
            <w:pPr>
              <w:pStyle w:val="Compact"/>
              <w:jc w:val="left"/>
            </w:pPr>
            <w:r>
              <w:t xml:space="preserve">Approver U-0412, Sanctions Compliance</w:t>
            </w:r>
          </w:p>
        </w:tc>
        <w:tc>
          <w:tcPr>
            <w:tcMar>
              <w:left w:w="70" w:type="dxa"/>
              <w:right w:w="70" w:type="dxa"/>
            </w:tcMar>
          </w:tcPr>
          <w:p>
            <w:pPr>
              <w:pStyle w:val="Compact"/>
              <w:jc w:val="left"/>
            </w:pPr>
            <w:r>
              <w:t xml:space="preserve">Case closed as false positive; approver differs from analyst: confirmed</w:t>
            </w:r>
          </w:p>
        </w:tc>
      </w:tr>
      <w:tr>
        <w:trPr>
          <w:cantSplit/>
        </w:trPr>
        <w:tc>
          <w:tcPr>
            <w:tcMar>
              <w:left w:w="30" w:type="dxa"/>
              <w:right w:w="70" w:type="dxa"/>
            </w:tcMar>
          </w:tcPr>
          <w:p>
            <w:pPr>
              <w:pStyle w:val="Compact"/>
              <w:jc w:val="left"/>
            </w:pPr>
            <w:r>
              <w:t xml:space="preserve">10:05:34</w:t>
            </w:r>
          </w:p>
        </w:tc>
        <w:tc>
          <w:tcPr>
            <w:tcMar>
              <w:left w:w="70" w:type="dxa"/>
              <w:right w:w="70" w:type="dxa"/>
            </w:tcMar>
          </w:tcPr>
          <w:p>
            <w:pPr>
              <w:pStyle w:val="Compact"/>
              <w:jc w:val="left"/>
            </w:pPr>
            <w:r>
              <w:t xml:space="preserve">Remaining checks confirmed</w:t>
            </w:r>
          </w:p>
        </w:tc>
        <w:tc>
          <w:tcPr>
            <w:tcMar>
              <w:left w:w="70" w:type="dxa"/>
              <w:right w:w="70" w:type="dxa"/>
            </w:tcMar>
          </w:tcPr>
          <w:p>
            <w:pPr>
              <w:pStyle w:val="Compact"/>
              <w:jc w:val="left"/>
            </w:pPr>
            <w:r>
              <w:t xml:space="preserve">Payments platform</w:t>
            </w:r>
          </w:p>
        </w:tc>
        <w:tc>
          <w:tcPr>
            <w:tcMar>
              <w:left w:w="70" w:type="dxa"/>
              <w:right w:w="70" w:type="dxa"/>
            </w:tcMar>
          </w:tcPr>
          <w:p>
            <w:pPr>
              <w:pStyle w:val="Compact"/>
              <w:jc w:val="left"/>
            </w:pPr>
            <w:r>
              <w:t xml:space="preserve">Jurisdiction and activity restrictions: clear; ownership review: not applicable (individual beneficiary); license or exemption: not required</w:t>
            </w:r>
          </w:p>
        </w:tc>
      </w:tr>
      <w:tr>
        <w:trPr>
          <w:cantSplit/>
        </w:trPr>
        <w:tc>
          <w:tcPr>
            <w:tcMar>
              <w:left w:w="30" w:type="dxa"/>
              <w:right w:w="70" w:type="dxa"/>
            </w:tcMar>
          </w:tcPr>
          <w:p>
            <w:pPr>
              <w:pStyle w:val="Compact"/>
              <w:jc w:val="left"/>
            </w:pPr>
            <w:r>
              <w:t xml:space="preserve">10:06:01</w:t>
            </w:r>
          </w:p>
        </w:tc>
        <w:tc>
          <w:tcPr>
            <w:tcMar>
              <w:left w:w="70" w:type="dxa"/>
              <w:right w:w="70" w:type="dxa"/>
            </w:tcMar>
          </w:tcPr>
          <w:p>
            <w:pPr>
              <w:pStyle w:val="Compact"/>
              <w:jc w:val="left"/>
            </w:pPr>
            <w:r>
              <w:t xml:space="preserve">Payment released</w:t>
            </w:r>
          </w:p>
        </w:tc>
        <w:tc>
          <w:tcPr>
            <w:tcMar>
              <w:left w:w="70" w:type="dxa"/>
              <w:right w:w="70" w:type="dxa"/>
            </w:tcMar>
          </w:tcPr>
          <w:p>
            <w:pPr>
              <w:pStyle w:val="Compact"/>
              <w:jc w:val="left"/>
            </w:pPr>
            <w:r>
              <w:t xml:space="preserve">Payments platform</w:t>
            </w:r>
          </w:p>
        </w:tc>
        <w:tc>
          <w:tcPr>
            <w:tcMar>
              <w:left w:w="70" w:type="dxa"/>
              <w:right w:w="70" w:type="dxa"/>
            </w:tcMar>
          </w:tcPr>
          <w:p>
            <w:pPr>
              <w:pStyle w:val="Compact"/>
              <w:jc w:val="left"/>
            </w:pPr>
            <w:r>
              <w:t xml:space="preserve">Release REL-771204; case status CLOSED; downstream reporting handoff: none required</w:t>
            </w:r>
          </w:p>
        </w:tc>
      </w:tr>
      <w:tr>
        <w:trPr>
          <w:cantSplit/>
        </w:trPr>
        <w:tc>
          <w:tcPr>
            <w:tcMar>
              <w:left w:w="30" w:type="dxa"/>
              <w:right w:w="70" w:type="dxa"/>
            </w:tcMar>
          </w:tcPr>
          <w:p>
            <w:pPr>
              <w:pStyle w:val="Compact"/>
              <w:jc w:val="left"/>
            </w:pPr>
            <w:r>
              <w:t xml:space="preserve">2026-04-02</w:t>
            </w:r>
          </w:p>
        </w:tc>
        <w:tc>
          <w:tcPr>
            <w:tcMar>
              <w:left w:w="70" w:type="dxa"/>
              <w:right w:w="70" w:type="dxa"/>
            </w:tcMar>
          </w:tcPr>
          <w:p>
            <w:pPr>
              <w:pStyle w:val="Compact"/>
              <w:jc w:val="left"/>
            </w:pPr>
            <w:r>
              <w:t xml:space="preserve">Quality review</w:t>
            </w:r>
          </w:p>
        </w:tc>
        <w:tc>
          <w:tcPr>
            <w:tcMar>
              <w:left w:w="70" w:type="dxa"/>
              <w:right w:w="70" w:type="dxa"/>
            </w:tcMar>
          </w:tcPr>
          <w:p>
            <w:pPr>
              <w:pStyle w:val="Compact"/>
              <w:jc w:val="left"/>
            </w:pPr>
            <w:r>
              <w:t xml:space="preserve">Reviewer U-3305</w:t>
            </w:r>
          </w:p>
        </w:tc>
        <w:tc>
          <w:tcPr>
            <w:tcMar>
              <w:left w:w="70" w:type="dxa"/>
              <w:right w:w="70" w:type="dxa"/>
            </w:tcMar>
          </w:tcPr>
          <w:p>
            <w:pPr>
              <w:pStyle w:val="Compact"/>
              <w:jc w:val="left"/>
            </w:pPr>
            <w:r>
              <w:t xml:space="preserve">Case sampled; rationale supported; no exception</w:t>
            </w:r>
          </w:p>
        </w:tc>
      </w:tr>
    </w:tbl>
    <w:p>
      <w:pPr>
        <w:pStyle w:val="BodyText"/>
      </w:pPr>
      <w:r>
        <w:t xml:space="preserve">Retain until at least March 4, 2036 [5].</w:t>
      </w:r>
    </w:p>
    <w:p>
      <w:pPr>
        <w:pStyle w:val="BodyText"/>
      </w:pPr>
      <w:r>
        <w:t xml:space="preserve">If the available information had been insufficient to distinguish the beneficiary from the listing, the payment would have remained held and the case would have moved to escalation.</w:t>
      </w:r>
    </w:p>
    <w:bookmarkEnd w:id="27"/>
    <w:bookmarkEnd w:id="28"/>
    <w:bookmarkStart w:id="30" w:name="evidence-package"/>
    <w:p>
      <w:pPr>
        <w:pStyle w:val="Heading2"/>
      </w:pPr>
      <w:r>
        <w:t xml:space="preserve">Evidence package</w:t>
      </w:r>
    </w:p>
    <w:bookmarkStart w:id="29" w:name="what-the-record-should-preserve"/>
    <w:p>
      <w:pPr>
        <w:pStyle w:val="Heading3"/>
      </w:pPr>
      <w:r>
        <w:t xml:space="preserve">What the record should preserve</w:t>
      </w:r>
    </w:p>
    <w:p>
      <w:pPr>
        <w:numPr>
          <w:ilvl w:val="0"/>
          <w:numId w:val="1001"/>
        </w:numPr>
        <w:pStyle w:val="Compact"/>
      </w:pPr>
      <w:r>
        <w:t xml:space="preserve">Screening request and protected source data</w:t>
      </w:r>
    </w:p>
    <w:p>
      <w:pPr>
        <w:numPr>
          <w:ilvl w:val="0"/>
          <w:numId w:val="1001"/>
        </w:numPr>
        <w:pStyle w:val="Compact"/>
      </w:pPr>
      <w:r>
        <w:t xml:space="preserve">Data-field map version in effect</w:t>
      </w:r>
    </w:p>
    <w:p>
      <w:pPr>
        <w:numPr>
          <w:ilvl w:val="0"/>
          <w:numId w:val="1001"/>
        </w:numPr>
        <w:pStyle w:val="Compact"/>
      </w:pPr>
      <w:r>
        <w:t xml:space="preserve">Sanctions programs, lists, list data version, vendor configuration, thresholds, and rule versions</w:t>
      </w:r>
    </w:p>
    <w:p>
      <w:pPr>
        <w:numPr>
          <w:ilvl w:val="0"/>
          <w:numId w:val="1001"/>
        </w:numPr>
        <w:pStyle w:val="Compact"/>
      </w:pPr>
      <w:r>
        <w:t xml:space="preserve">Request, response, decision, and release timestamps</w:t>
      </w:r>
    </w:p>
    <w:p>
      <w:pPr>
        <w:numPr>
          <w:ilvl w:val="0"/>
          <w:numId w:val="1001"/>
        </w:numPr>
        <w:pStyle w:val="Compact"/>
      </w:pPr>
      <w:r>
        <w:t xml:space="preserve">Raw screening result, match score, and matched list entry</w:t>
      </w:r>
    </w:p>
    <w:p>
      <w:pPr>
        <w:numPr>
          <w:ilvl w:val="0"/>
          <w:numId w:val="1001"/>
        </w:numPr>
        <w:pStyle w:val="Compact"/>
      </w:pPr>
      <w:r>
        <w:t xml:space="preserve">Case creation, hold, queue, and attempted-release history</w:t>
      </w:r>
    </w:p>
    <w:p>
      <w:pPr>
        <w:numPr>
          <w:ilvl w:val="0"/>
          <w:numId w:val="1001"/>
        </w:numPr>
        <w:pStyle w:val="Compact"/>
      </w:pPr>
      <w:r>
        <w:t xml:space="preserve">Information gathered during match evaluation, with its sources</w:t>
      </w:r>
    </w:p>
    <w:p>
      <w:pPr>
        <w:numPr>
          <w:ilvl w:val="0"/>
          <w:numId w:val="1001"/>
        </w:numPr>
        <w:pStyle w:val="Compact"/>
      </w:pPr>
      <w:r>
        <w:t xml:space="preserve">Analyst recommendation and supporting comparison</w:t>
      </w:r>
    </w:p>
    <w:p>
      <w:pPr>
        <w:numPr>
          <w:ilvl w:val="0"/>
          <w:numId w:val="1001"/>
        </w:numPr>
        <w:pStyle w:val="Compact"/>
      </w:pPr>
      <w:r>
        <w:t xml:space="preserve">Authorized final disposition and approver identity</w:t>
      </w:r>
    </w:p>
    <w:p>
      <w:pPr>
        <w:numPr>
          <w:ilvl w:val="0"/>
          <w:numId w:val="1001"/>
        </w:numPr>
        <w:pStyle w:val="Compact"/>
      </w:pPr>
      <w:r>
        <w:t xml:space="preserve">Payment release, rejection, blocking, or escalation event</w:t>
      </w:r>
    </w:p>
    <w:p>
      <w:pPr>
        <w:numPr>
          <w:ilvl w:val="0"/>
          <w:numId w:val="1001"/>
        </w:numPr>
        <w:pStyle w:val="Compact"/>
      </w:pPr>
      <w:r>
        <w:t xml:space="preserve">Required reports, submission evidence, deadlines, and blocked-property records, when applicable [6][7]</w:t>
      </w:r>
    </w:p>
    <w:p>
      <w:pPr>
        <w:numPr>
          <w:ilvl w:val="0"/>
          <w:numId w:val="1001"/>
        </w:numPr>
        <w:pStyle w:val="Compact"/>
      </w:pPr>
      <w:r>
        <w:t xml:space="preserve">Quality-review result and any corrective action</w:t>
      </w:r>
    </w:p>
    <w:p>
      <w:pPr>
        <w:numPr>
          <w:ilvl w:val="0"/>
          <w:numId w:val="1001"/>
        </w:numPr>
        <w:pStyle w:val="Compact"/>
      </w:pPr>
      <w:r>
        <w:t xml:space="preserve">Most recent detection-test result for the active configuration</w:t>
      </w:r>
    </w:p>
    <w:p>
      <w:pPr>
        <w:numPr>
          <w:ilvl w:val="0"/>
          <w:numId w:val="1001"/>
        </w:numPr>
        <w:pStyle w:val="Compact"/>
      </w:pPr>
      <w:r>
        <w:t xml:space="preserve">Immutable or otherwise controlled audit history</w:t>
      </w:r>
    </w:p>
    <w:p>
      <w:pPr>
        <w:pStyle w:val="FirstParagraph"/>
      </w:pPr>
      <w:r>
        <w:rPr>
          <w:bCs/>
          <w:b/>
        </w:rPr>
        <w:t xml:space="preserve">Retention.</w:t>
      </w:r>
      <w:r>
        <w:t xml:space="preserve"> </w:t>
      </w:r>
      <w:r>
        <w:t xml:space="preserve">OFAC’s current rule requires transaction records to remain available for at least 10 years, and blocked-property records for the blocking period plus at least 10 years after unblocking [5]. Some examination materials, including the FFIEC manual, still state a five-year period [9]. Configure retention settings, archives, legal holds, and vendor contract terms against the current regulation.</w:t>
      </w:r>
    </w:p>
    <w:bookmarkEnd w:id="29"/>
    <w:bookmarkEnd w:id="30"/>
    <w:bookmarkStart w:id="32" w:name="assurance"/>
    <w:p>
      <w:pPr>
        <w:pStyle w:val="Heading2"/>
      </w:pPr>
      <w:r>
        <w:t xml:space="preserve">Assurance</w:t>
      </w:r>
    </w:p>
    <w:bookmarkStart w:id="31" w:name="how-to-test-the-control"/>
    <w:p>
      <w:pPr>
        <w:pStyle w:val="Heading3"/>
      </w:pPr>
      <w:r>
        <w:t xml:space="preserve">How to test the control</w:t>
      </w:r>
    </w:p>
    <w:p>
      <w:pPr>
        <w:pStyle w:val="FirstParagraph"/>
      </w:pPr>
      <w:r>
        <w:t xml:space="preserve">Run failure-path and detection tests in an isolated production-equivalent environment that uses a controlled replica or snapshot of the production configuration and synthetic data incapable of generating a live block, rejection, report, customer effect, or external transmission.</w:t>
      </w:r>
    </w:p>
    <w:p>
      <w:pPr>
        <w:pStyle w:val="BodyText"/>
      </w:pPr>
      <w:r>
        <w:rPr>
          <w:bCs/>
          <w:b/>
        </w:rPr>
        <w:t xml:space="preserve">Decision testing: work backward from completed activity</w:t>
      </w:r>
    </w:p>
    <w:tbl>
      <w:tblPr>
        <w:tblStyle w:val="Table"/>
        <w:tblW w:type="pct" w:w="5000"/>
        <w:tblLook w:firstRow="1" w:lastRow="0" w:firstColumn="0" w:lastColumn="0" w:noHBand="0" w:noVBand="0" w:val="0020"/>
        <w:jc w:val="start"/>
      </w:tblPr>
      <w:tblGrid>
        <w:gridCol w:w="2640"/>
        <w:gridCol w:w="2640"/>
        <w:gridCol w:w="2640"/>
      </w:tblGrid>
      <w:tr>
        <w:trPr>
          <w:tblHeader w:val="true"/>
          <w:cantSplit/>
        </w:trPr>
        <w:tc>
          <w:tcPr>
            <w:tcMar>
              <w:left w:w="30" w:type="dxa"/>
              <w:right w:w="70" w:type="dxa"/>
            </w:tcMar>
          </w:tcPr>
          <w:p>
            <w:pPr>
              <w:pStyle w:val="Compact"/>
              <w:jc w:val="left"/>
            </w:pPr>
            <w:r>
              <w:t xml:space="preserve">#</w:t>
            </w:r>
          </w:p>
        </w:tc>
        <w:tc>
          <w:tcPr>
            <w:tcMar>
              <w:left w:w="70" w:type="dxa"/>
              <w:right w:w="70" w:type="dxa"/>
            </w:tcMar>
          </w:tcPr>
          <w:p>
            <w:pPr>
              <w:pStyle w:val="Compact"/>
              <w:jc w:val="left"/>
            </w:pPr>
            <w:r>
              <w:t xml:space="preserve">Procedure</w:t>
            </w:r>
          </w:p>
        </w:tc>
        <w:tc>
          <w:tcPr>
            <w:tcMar>
              <w:left w:w="70" w:type="dxa"/>
              <w:right w:w="70" w:type="dxa"/>
            </w:tcMar>
          </w:tcPr>
          <w:p>
            <w:pPr>
              <w:pStyle w:val="Compact"/>
              <w:jc w:val="left"/>
            </w:pPr>
            <w:r>
              <w:t xml:space="preserve">Evidence expected</w:t>
            </w:r>
          </w:p>
        </w:tc>
      </w:tr>
      <w:tr>
        <w:trPr>
          <w:cantSplit/>
        </w:trPr>
        <w:tc>
          <w:tcPr>
            <w:tcMar>
              <w:left w:w="30" w:type="dxa"/>
              <w:right w:w="70" w:type="dxa"/>
            </w:tcMar>
          </w:tcPr>
          <w:p>
            <w:pPr>
              <w:pStyle w:val="Compact"/>
              <w:jc w:val="left"/>
            </w:pPr>
            <w:r>
              <w:t xml:space="preserve">01</w:t>
            </w:r>
          </w:p>
        </w:tc>
        <w:tc>
          <w:tcPr>
            <w:tcMar>
              <w:left w:w="70" w:type="dxa"/>
              <w:right w:w="70" w:type="dxa"/>
            </w:tcMar>
          </w:tcPr>
          <w:p>
            <w:pPr>
              <w:pStyle w:val="Compact"/>
              <w:jc w:val="left"/>
            </w:pPr>
            <w:r>
              <w:t xml:space="preserve">Sample released payments and confirm screening completed before release, using the configuration in effect at the time.</w:t>
            </w:r>
          </w:p>
        </w:tc>
        <w:tc>
          <w:tcPr>
            <w:tcMar>
              <w:left w:w="70" w:type="dxa"/>
              <w:right w:w="70" w:type="dxa"/>
            </w:tcMar>
          </w:tcPr>
          <w:p>
            <w:pPr>
              <w:pStyle w:val="Compact"/>
              <w:jc w:val="left"/>
            </w:pPr>
            <w:r>
              <w:t xml:space="preserve">Request and release timestamps; configuration version</w:t>
            </w:r>
          </w:p>
        </w:tc>
      </w:tr>
      <w:tr>
        <w:trPr>
          <w:cantSplit/>
        </w:trPr>
        <w:tc>
          <w:tcPr>
            <w:tcMar>
              <w:left w:w="30" w:type="dxa"/>
              <w:right w:w="70" w:type="dxa"/>
            </w:tcMar>
          </w:tcPr>
          <w:p>
            <w:pPr>
              <w:pStyle w:val="Compact"/>
              <w:jc w:val="left"/>
            </w:pPr>
            <w:r>
              <w:t xml:space="preserve">02</w:t>
            </w:r>
          </w:p>
        </w:tc>
        <w:tc>
          <w:tcPr>
            <w:tcMar>
              <w:left w:w="70" w:type="dxa"/>
              <w:right w:w="70" w:type="dxa"/>
            </w:tcMar>
          </w:tcPr>
          <w:p>
            <w:pPr>
              <w:pStyle w:val="Compact"/>
              <w:jc w:val="left"/>
            </w:pPr>
            <w:r>
              <w:t xml:space="preserve">Sample closed alerts and reconstruct the evidence supporting each disposition.</w:t>
            </w:r>
          </w:p>
        </w:tc>
        <w:tc>
          <w:tcPr>
            <w:tcMar>
              <w:left w:w="70" w:type="dxa"/>
              <w:right w:w="70" w:type="dxa"/>
            </w:tcMar>
          </w:tcPr>
          <w:p>
            <w:pPr>
              <w:pStyle w:val="Compact"/>
              <w:jc w:val="left"/>
            </w:pPr>
            <w:r>
              <w:t xml:space="preserve">Comparison, rationale, and approver identity separate from analyst</w:t>
            </w:r>
          </w:p>
        </w:tc>
      </w:tr>
      <w:tr>
        <w:trPr>
          <w:cantSplit/>
        </w:trPr>
        <w:tc>
          <w:tcPr>
            <w:tcMar>
              <w:left w:w="30" w:type="dxa"/>
              <w:right w:w="70" w:type="dxa"/>
            </w:tcMar>
          </w:tcPr>
          <w:p>
            <w:pPr>
              <w:pStyle w:val="Compact"/>
              <w:jc w:val="left"/>
            </w:pPr>
            <w:r>
              <w:t xml:space="preserve">03</w:t>
            </w:r>
          </w:p>
        </w:tc>
        <w:tc>
          <w:tcPr>
            <w:tcMar>
              <w:left w:w="70" w:type="dxa"/>
              <w:right w:w="70" w:type="dxa"/>
            </w:tcMar>
          </w:tcPr>
          <w:p>
            <w:pPr>
              <w:pStyle w:val="Compact"/>
              <w:jc w:val="left"/>
            </w:pPr>
            <w:r>
              <w:t xml:space="preserve">Sample blocks, rejections, unblockings, and licensed outcomes, and confirm reporting, blocked-property, recordkeeping, and follow-up handoffs were accurate, timely, and evidenced [6][7].</w:t>
            </w:r>
          </w:p>
        </w:tc>
        <w:tc>
          <w:tcPr>
            <w:tcMar>
              <w:left w:w="70" w:type="dxa"/>
              <w:right w:w="70" w:type="dxa"/>
            </w:tcMar>
          </w:tcPr>
          <w:p>
            <w:pPr>
              <w:pStyle w:val="Compact"/>
              <w:jc w:val="left"/>
            </w:pPr>
            <w:r>
              <w:t xml:space="preserve">Report submissions within deadline; handoff owner and completion record</w:t>
            </w:r>
          </w:p>
        </w:tc>
      </w:tr>
    </w:tbl>
    <w:p>
      <w:pPr>
        <w:pStyle w:val="BodyText"/>
      </w:pPr>
      <w:r>
        <w:rPr>
          <w:bCs/>
          <w:b/>
        </w:rPr>
        <w:t xml:space="preserve">Failure-path testing: work forward from exceptions</w:t>
      </w:r>
    </w:p>
    <w:tbl>
      <w:tblPr>
        <w:tblStyle w:val="Table"/>
        <w:tblW w:type="pct" w:w="5000"/>
        <w:tblLook w:firstRow="1" w:lastRow="0" w:firstColumn="0" w:lastColumn="0" w:noHBand="0" w:noVBand="0" w:val="0020"/>
        <w:jc w:val="start"/>
      </w:tblPr>
      <w:tblGrid>
        <w:gridCol w:w="2640"/>
        <w:gridCol w:w="2640"/>
        <w:gridCol w:w="2640"/>
      </w:tblGrid>
      <w:tr>
        <w:trPr>
          <w:tblHeader w:val="true"/>
          <w:cantSplit/>
        </w:trPr>
        <w:tc>
          <w:tcPr>
            <w:tcMar>
              <w:left w:w="30" w:type="dxa"/>
              <w:right w:w="70" w:type="dxa"/>
            </w:tcMar>
          </w:tcPr>
          <w:p>
            <w:pPr>
              <w:pStyle w:val="Compact"/>
              <w:jc w:val="left"/>
            </w:pPr>
            <w:r>
              <w:t xml:space="preserve">#</w:t>
            </w:r>
          </w:p>
        </w:tc>
        <w:tc>
          <w:tcPr>
            <w:tcMar>
              <w:left w:w="70" w:type="dxa"/>
              <w:right w:w="70" w:type="dxa"/>
            </w:tcMar>
          </w:tcPr>
          <w:p>
            <w:pPr>
              <w:pStyle w:val="Compact"/>
              <w:jc w:val="left"/>
            </w:pPr>
            <w:r>
              <w:t xml:space="preserve">Procedure</w:t>
            </w:r>
          </w:p>
        </w:tc>
        <w:tc>
          <w:tcPr>
            <w:tcMar>
              <w:left w:w="70" w:type="dxa"/>
              <w:right w:w="70" w:type="dxa"/>
            </w:tcMar>
          </w:tcPr>
          <w:p>
            <w:pPr>
              <w:pStyle w:val="Compact"/>
              <w:jc w:val="left"/>
            </w:pPr>
            <w:r>
              <w:t xml:space="preserve">Evidence expected</w:t>
            </w:r>
          </w:p>
        </w:tc>
      </w:tr>
      <w:tr>
        <w:trPr>
          <w:cantSplit/>
        </w:trPr>
        <w:tc>
          <w:tcPr>
            <w:tcMar>
              <w:left w:w="30" w:type="dxa"/>
              <w:right w:w="70" w:type="dxa"/>
            </w:tcMar>
          </w:tcPr>
          <w:p>
            <w:pPr>
              <w:pStyle w:val="Compact"/>
              <w:jc w:val="left"/>
            </w:pPr>
            <w:r>
              <w:t xml:space="preserve">04</w:t>
            </w:r>
          </w:p>
        </w:tc>
        <w:tc>
          <w:tcPr>
            <w:tcMar>
              <w:left w:w="70" w:type="dxa"/>
              <w:right w:w="70" w:type="dxa"/>
            </w:tcMar>
          </w:tcPr>
          <w:p>
            <w:pPr>
              <w:pStyle w:val="Compact"/>
              <w:jc w:val="left"/>
            </w:pPr>
            <w:r>
              <w:t xml:space="preserve">Attempt release while an alert is unresolved.</w:t>
            </w:r>
          </w:p>
        </w:tc>
        <w:tc>
          <w:tcPr>
            <w:tcMar>
              <w:left w:w="70" w:type="dxa"/>
              <w:right w:w="70" w:type="dxa"/>
            </w:tcMar>
          </w:tcPr>
          <w:p>
            <w:pPr>
              <w:pStyle w:val="Compact"/>
              <w:jc w:val="left"/>
            </w:pPr>
            <w:r>
              <w:t xml:space="preserve">Release blocked and logged</w:t>
            </w:r>
          </w:p>
        </w:tc>
      </w:tr>
      <w:tr>
        <w:trPr>
          <w:cantSplit/>
        </w:trPr>
        <w:tc>
          <w:tcPr>
            <w:tcMar>
              <w:left w:w="30" w:type="dxa"/>
              <w:right w:w="70" w:type="dxa"/>
            </w:tcMar>
          </w:tcPr>
          <w:p>
            <w:pPr>
              <w:pStyle w:val="Compact"/>
              <w:jc w:val="left"/>
            </w:pPr>
            <w:r>
              <w:t xml:space="preserve">05</w:t>
            </w:r>
          </w:p>
        </w:tc>
        <w:tc>
          <w:tcPr>
            <w:tcMar>
              <w:left w:w="70" w:type="dxa"/>
              <w:right w:w="70" w:type="dxa"/>
            </w:tcMar>
          </w:tcPr>
          <w:p>
            <w:pPr>
              <w:pStyle w:val="Compact"/>
              <w:jc w:val="left"/>
            </w:pPr>
            <w:r>
              <w:t xml:space="preserve">Submit a payment with a required field missing or truncated.</w:t>
            </w:r>
          </w:p>
        </w:tc>
        <w:tc>
          <w:tcPr>
            <w:tcMar>
              <w:left w:w="70" w:type="dxa"/>
              <w:right w:w="70" w:type="dxa"/>
            </w:tcMar>
          </w:tcPr>
          <w:p>
            <w:pPr>
              <w:pStyle w:val="Compact"/>
              <w:jc w:val="left"/>
            </w:pPr>
            <w:r>
              <w:t xml:space="preserve">Exception created; payment held</w:t>
            </w:r>
          </w:p>
        </w:tc>
      </w:tr>
      <w:tr>
        <w:trPr>
          <w:cantSplit/>
        </w:trPr>
        <w:tc>
          <w:tcPr>
            <w:tcMar>
              <w:left w:w="30" w:type="dxa"/>
              <w:right w:w="70" w:type="dxa"/>
            </w:tcMar>
          </w:tcPr>
          <w:p>
            <w:pPr>
              <w:pStyle w:val="Compact"/>
              <w:jc w:val="left"/>
            </w:pPr>
            <w:r>
              <w:t xml:space="preserve">06</w:t>
            </w:r>
          </w:p>
        </w:tc>
        <w:tc>
          <w:tcPr>
            <w:tcMar>
              <w:left w:w="70" w:type="dxa"/>
              <w:right w:w="70" w:type="dxa"/>
            </w:tcMar>
          </w:tcPr>
          <w:p>
            <w:pPr>
              <w:pStyle w:val="Compact"/>
              <w:jc w:val="left"/>
            </w:pPr>
            <w:r>
              <w:t xml:space="preserve">Interrupt the screening service, then restore it.</w:t>
            </w:r>
          </w:p>
        </w:tc>
        <w:tc>
          <w:tcPr>
            <w:tcMar>
              <w:left w:w="70" w:type="dxa"/>
              <w:right w:w="70" w:type="dxa"/>
            </w:tcMar>
          </w:tcPr>
          <w:p>
            <w:pPr>
              <w:pStyle w:val="Compact"/>
              <w:jc w:val="left"/>
            </w:pPr>
            <w:r>
              <w:t xml:space="preserve">Payments held during outage; rescreening completed on recovery</w:t>
            </w:r>
          </w:p>
        </w:tc>
      </w:tr>
      <w:tr>
        <w:trPr>
          <w:cantSplit/>
        </w:trPr>
        <w:tc>
          <w:tcPr>
            <w:tcMar>
              <w:left w:w="30" w:type="dxa"/>
              <w:right w:w="70" w:type="dxa"/>
            </w:tcMar>
          </w:tcPr>
          <w:p>
            <w:pPr>
              <w:pStyle w:val="Compact"/>
              <w:jc w:val="left"/>
            </w:pPr>
            <w:r>
              <w:t xml:space="preserve">07</w:t>
            </w:r>
          </w:p>
        </w:tc>
        <w:tc>
          <w:tcPr>
            <w:tcMar>
              <w:left w:w="70" w:type="dxa"/>
              <w:right w:w="70" w:type="dxa"/>
            </w:tcMar>
          </w:tcPr>
          <w:p>
            <w:pPr>
              <w:pStyle w:val="Compact"/>
              <w:jc w:val="left"/>
            </w:pPr>
            <w:r>
              <w:t xml:space="preserve">Build and clear a simulated alert backlog.</w:t>
            </w:r>
          </w:p>
        </w:tc>
        <w:tc>
          <w:tcPr>
            <w:tcMar>
              <w:left w:w="70" w:type="dxa"/>
              <w:right w:w="70" w:type="dxa"/>
            </w:tcMar>
          </w:tcPr>
          <w:p>
            <w:pPr>
              <w:pStyle w:val="Compact"/>
              <w:jc w:val="left"/>
            </w:pPr>
            <w:r>
              <w:t xml:space="preserve">No release without review; aging and escalation records</w:t>
            </w:r>
          </w:p>
        </w:tc>
      </w:tr>
      <w:tr>
        <w:trPr>
          <w:cantSplit/>
        </w:trPr>
        <w:tc>
          <w:tcPr>
            <w:tcMar>
              <w:left w:w="30" w:type="dxa"/>
              <w:right w:w="70" w:type="dxa"/>
            </w:tcMar>
          </w:tcPr>
          <w:p>
            <w:pPr>
              <w:pStyle w:val="Compact"/>
              <w:jc w:val="left"/>
            </w:pPr>
            <w:r>
              <w:t xml:space="preserve">08</w:t>
            </w:r>
          </w:p>
        </w:tc>
        <w:tc>
          <w:tcPr>
            <w:tcMar>
              <w:left w:w="70" w:type="dxa"/>
              <w:right w:w="70" w:type="dxa"/>
            </w:tcMar>
          </w:tcPr>
          <w:p>
            <w:pPr>
              <w:pStyle w:val="Compact"/>
              <w:jc w:val="left"/>
            </w:pPr>
            <w:r>
              <w:t xml:space="preserve">Change customer data and load a list update.</w:t>
            </w:r>
          </w:p>
        </w:tc>
        <w:tc>
          <w:tcPr>
            <w:tcMar>
              <w:left w:w="70" w:type="dxa"/>
              <w:right w:w="70" w:type="dxa"/>
            </w:tcMar>
          </w:tcPr>
          <w:p>
            <w:pPr>
              <w:pStyle w:val="Compact"/>
              <w:jc w:val="left"/>
            </w:pPr>
            <w:r>
              <w:t xml:space="preserve">Rescreening triggered and completed</w:t>
            </w:r>
          </w:p>
        </w:tc>
      </w:tr>
      <w:tr>
        <w:trPr>
          <w:cantSplit/>
        </w:trPr>
        <w:tc>
          <w:tcPr>
            <w:tcMar>
              <w:left w:w="30" w:type="dxa"/>
              <w:right w:w="70" w:type="dxa"/>
            </w:tcMar>
          </w:tcPr>
          <w:p>
            <w:pPr>
              <w:pStyle w:val="Compact"/>
              <w:jc w:val="left"/>
            </w:pPr>
            <w:r>
              <w:t xml:space="preserve">09</w:t>
            </w:r>
          </w:p>
        </w:tc>
        <w:tc>
          <w:tcPr>
            <w:tcMar>
              <w:left w:w="70" w:type="dxa"/>
              <w:right w:w="70" w:type="dxa"/>
            </w:tcMar>
          </w:tcPr>
          <w:p>
            <w:pPr>
              <w:pStyle w:val="Compact"/>
              <w:jc w:val="left"/>
            </w:pPr>
            <w:r>
              <w:t xml:space="preserve">Attempt a manual override with each user role.</w:t>
            </w:r>
          </w:p>
        </w:tc>
        <w:tc>
          <w:tcPr>
            <w:tcMar>
              <w:left w:w="70" w:type="dxa"/>
              <w:right w:w="70" w:type="dxa"/>
            </w:tcMar>
          </w:tcPr>
          <w:p>
            <w:pPr>
              <w:pStyle w:val="Compact"/>
              <w:jc w:val="left"/>
            </w:pPr>
            <w:r>
              <w:t xml:space="preserve">Overrides restricted, logged, reviewed, and reported</w:t>
            </w:r>
          </w:p>
        </w:tc>
      </w:tr>
    </w:tbl>
    <w:p>
      <w:pPr>
        <w:pStyle w:val="BodyText"/>
      </w:pPr>
      <w:r>
        <w:rPr>
          <w:bCs/>
          <w:b/>
        </w:rPr>
        <w:t xml:space="preserve">Detection and scope testing: confirm the engine sees what it should</w:t>
      </w:r>
    </w:p>
    <w:tbl>
      <w:tblPr>
        <w:tblStyle w:val="Table"/>
        <w:tblW w:type="pct" w:w="5000"/>
        <w:tblLook w:firstRow="1" w:lastRow="0" w:firstColumn="0" w:lastColumn="0" w:noHBand="0" w:noVBand="0" w:val="0020"/>
        <w:jc w:val="start"/>
      </w:tblPr>
      <w:tblGrid>
        <w:gridCol w:w="2640"/>
        <w:gridCol w:w="2640"/>
        <w:gridCol w:w="2640"/>
      </w:tblGrid>
      <w:tr>
        <w:trPr>
          <w:tblHeader w:val="true"/>
          <w:cantSplit/>
        </w:trPr>
        <w:tc>
          <w:tcPr>
            <w:tcMar>
              <w:left w:w="30" w:type="dxa"/>
              <w:right w:w="70" w:type="dxa"/>
            </w:tcMar>
          </w:tcPr>
          <w:p>
            <w:pPr>
              <w:pStyle w:val="Compact"/>
              <w:jc w:val="left"/>
            </w:pPr>
            <w:r>
              <w:t xml:space="preserve">#</w:t>
            </w:r>
          </w:p>
        </w:tc>
        <w:tc>
          <w:tcPr>
            <w:tcMar>
              <w:left w:w="70" w:type="dxa"/>
              <w:right w:w="70" w:type="dxa"/>
            </w:tcMar>
          </w:tcPr>
          <w:p>
            <w:pPr>
              <w:pStyle w:val="Compact"/>
              <w:jc w:val="left"/>
            </w:pPr>
            <w:r>
              <w:t xml:space="preserve">Procedure</w:t>
            </w:r>
          </w:p>
        </w:tc>
        <w:tc>
          <w:tcPr>
            <w:tcMar>
              <w:left w:w="70" w:type="dxa"/>
              <w:right w:w="70" w:type="dxa"/>
            </w:tcMar>
          </w:tcPr>
          <w:p>
            <w:pPr>
              <w:pStyle w:val="Compact"/>
              <w:jc w:val="left"/>
            </w:pPr>
            <w:r>
              <w:t xml:space="preserve">Evidence expected</w:t>
            </w:r>
          </w:p>
        </w:tc>
      </w:tr>
      <w:tr>
        <w:trPr>
          <w:cantSplit/>
        </w:trPr>
        <w:tc>
          <w:tcPr>
            <w:tcMar>
              <w:left w:w="30" w:type="dxa"/>
              <w:right w:w="70" w:type="dxa"/>
            </w:tcMar>
          </w:tcPr>
          <w:p>
            <w:pPr>
              <w:pStyle w:val="Compact"/>
              <w:jc w:val="left"/>
            </w:pPr>
            <w:r>
              <w:t xml:space="preserve">10</w:t>
            </w:r>
          </w:p>
        </w:tc>
        <w:tc>
          <w:tcPr>
            <w:tcMar>
              <w:left w:w="70" w:type="dxa"/>
              <w:right w:w="70" w:type="dxa"/>
            </w:tcMar>
          </w:tcPr>
          <w:p>
            <w:pPr>
              <w:pStyle w:val="Compact"/>
              <w:jc w:val="left"/>
            </w:pPr>
            <w:r>
              <w:t xml:space="preserve">Trace each required input from its source system to the screening request.</w:t>
            </w:r>
          </w:p>
        </w:tc>
        <w:tc>
          <w:tcPr>
            <w:tcMar>
              <w:left w:w="70" w:type="dxa"/>
              <w:right w:w="70" w:type="dxa"/>
            </w:tcMar>
          </w:tcPr>
          <w:p>
            <w:pPr>
              <w:pStyle w:val="Compact"/>
              <w:jc w:val="left"/>
            </w:pPr>
            <w:r>
              <w:t xml:space="preserve">Field map matches the request payload; no dropped or truncated fields</w:t>
            </w:r>
          </w:p>
        </w:tc>
      </w:tr>
      <w:tr>
        <w:trPr>
          <w:cantSplit/>
        </w:trPr>
        <w:tc>
          <w:tcPr>
            <w:tcMar>
              <w:left w:w="30" w:type="dxa"/>
              <w:right w:w="70" w:type="dxa"/>
            </w:tcMar>
          </w:tcPr>
          <w:p>
            <w:pPr>
              <w:pStyle w:val="Compact"/>
              <w:jc w:val="left"/>
            </w:pPr>
            <w:r>
              <w:t xml:space="preserve">11</w:t>
            </w:r>
          </w:p>
        </w:tc>
        <w:tc>
          <w:tcPr>
            <w:tcMar>
              <w:left w:w="70" w:type="dxa"/>
              <w:right w:w="70" w:type="dxa"/>
            </w:tcMar>
          </w:tcPr>
          <w:p>
            <w:pPr>
              <w:pStyle w:val="Compact"/>
              <w:jc w:val="left"/>
            </w:pPr>
            <w:r>
              <w:t xml:space="preserve">Run a test set of list entries with transliterations, reordered name parts, dropped or merged words, truncation, typographical errors, and identifiers such as BICs. Include cases just above and just below the matching threshold. Include weak aliases where the program has chosen to screen them [3].</w:t>
            </w:r>
          </w:p>
        </w:tc>
        <w:tc>
          <w:tcPr>
            <w:tcMar>
              <w:left w:w="70" w:type="dxa"/>
              <w:right w:w="70" w:type="dxa"/>
            </w:tcMar>
          </w:tcPr>
          <w:p>
            <w:pPr>
              <w:pStyle w:val="Compact"/>
              <w:jc w:val="left"/>
            </w:pPr>
            <w:r>
              <w:t xml:space="preserve">Alert and score for each test entry; misses investigated</w:t>
            </w:r>
          </w:p>
        </w:tc>
      </w:tr>
      <w:tr>
        <w:trPr>
          <w:cantSplit/>
        </w:trPr>
        <w:tc>
          <w:tcPr>
            <w:tcMar>
              <w:left w:w="30" w:type="dxa"/>
              <w:right w:w="70" w:type="dxa"/>
            </w:tcMar>
          </w:tcPr>
          <w:p>
            <w:pPr>
              <w:pStyle w:val="Compact"/>
              <w:jc w:val="left"/>
            </w:pPr>
            <w:r>
              <w:t xml:space="preserve">12</w:t>
            </w:r>
          </w:p>
        </w:tc>
        <w:tc>
          <w:tcPr>
            <w:tcMar>
              <w:left w:w="70" w:type="dxa"/>
              <w:right w:w="70" w:type="dxa"/>
            </w:tcMar>
          </w:tcPr>
          <w:p>
            <w:pPr>
              <w:pStyle w:val="Compact"/>
              <w:jc w:val="left"/>
            </w:pPr>
            <w:r>
              <w:t xml:space="preserve">Onboard a test entity whose blocked owners hold 50 percent or more in the aggregate [4].</w:t>
            </w:r>
          </w:p>
        </w:tc>
        <w:tc>
          <w:tcPr>
            <w:tcMar>
              <w:left w:w="70" w:type="dxa"/>
              <w:right w:w="70" w:type="dxa"/>
            </w:tcMar>
          </w:tcPr>
          <w:p>
            <w:pPr>
              <w:pStyle w:val="Compact"/>
              <w:jc w:val="left"/>
            </w:pPr>
            <w:r>
              <w:t xml:space="preserve">Ownership review identifies the entity</w:t>
            </w:r>
          </w:p>
        </w:tc>
      </w:tr>
    </w:tbl>
    <w:p>
      <w:pPr>
        <w:pStyle w:val="BodyText"/>
      </w:pPr>
      <w:r>
        <w:rPr>
          <w:bCs/>
          <w:b/>
        </w:rPr>
        <w:t xml:space="preserve">Governance testing</w:t>
      </w:r>
    </w:p>
    <w:tbl>
      <w:tblPr>
        <w:tblStyle w:val="Table"/>
        <w:tblW w:type="pct" w:w="5000"/>
        <w:tblLook w:firstRow="1" w:lastRow="0" w:firstColumn="0" w:lastColumn="0" w:noHBand="0" w:noVBand="0" w:val="0020"/>
        <w:jc w:val="start"/>
      </w:tblPr>
      <w:tblGrid>
        <w:gridCol w:w="2640"/>
        <w:gridCol w:w="2640"/>
        <w:gridCol w:w="2640"/>
      </w:tblGrid>
      <w:tr>
        <w:trPr>
          <w:tblHeader w:val="true"/>
          <w:cantSplit/>
        </w:trPr>
        <w:tc>
          <w:tcPr>
            <w:tcMar>
              <w:left w:w="30" w:type="dxa"/>
              <w:right w:w="70" w:type="dxa"/>
            </w:tcMar>
          </w:tcPr>
          <w:p>
            <w:pPr>
              <w:pStyle w:val="Compact"/>
              <w:jc w:val="left"/>
            </w:pPr>
            <w:r>
              <w:t xml:space="preserve">#</w:t>
            </w:r>
          </w:p>
        </w:tc>
        <w:tc>
          <w:tcPr>
            <w:tcMar>
              <w:left w:w="70" w:type="dxa"/>
              <w:right w:w="70" w:type="dxa"/>
            </w:tcMar>
          </w:tcPr>
          <w:p>
            <w:pPr>
              <w:pStyle w:val="Compact"/>
              <w:jc w:val="left"/>
            </w:pPr>
            <w:r>
              <w:t xml:space="preserve">Procedure</w:t>
            </w:r>
          </w:p>
        </w:tc>
        <w:tc>
          <w:tcPr>
            <w:tcMar>
              <w:left w:w="70" w:type="dxa"/>
              <w:right w:w="70" w:type="dxa"/>
            </w:tcMar>
          </w:tcPr>
          <w:p>
            <w:pPr>
              <w:pStyle w:val="Compact"/>
              <w:jc w:val="left"/>
            </w:pPr>
            <w:r>
              <w:t xml:space="preserve">Evidence expected</w:t>
            </w:r>
          </w:p>
        </w:tc>
      </w:tr>
      <w:tr>
        <w:trPr>
          <w:cantSplit/>
        </w:trPr>
        <w:tc>
          <w:tcPr>
            <w:tcMar>
              <w:left w:w="30" w:type="dxa"/>
              <w:right w:w="70" w:type="dxa"/>
            </w:tcMar>
          </w:tcPr>
          <w:p>
            <w:pPr>
              <w:pStyle w:val="Compact"/>
              <w:jc w:val="left"/>
            </w:pPr>
            <w:r>
              <w:t xml:space="preserve">13</w:t>
            </w:r>
          </w:p>
        </w:tc>
        <w:tc>
          <w:tcPr>
            <w:tcMar>
              <w:left w:w="70" w:type="dxa"/>
              <w:right w:w="70" w:type="dxa"/>
            </w:tcMar>
          </w:tcPr>
          <w:p>
            <w:pPr>
              <w:pStyle w:val="Compact"/>
              <w:jc w:val="left"/>
            </w:pPr>
            <w:r>
              <w:t xml:space="preserve">Trace configuration and threshold changes to approval, detection testing, deployment, and effective dates.</w:t>
            </w:r>
          </w:p>
        </w:tc>
        <w:tc>
          <w:tcPr>
            <w:tcMar>
              <w:left w:w="70" w:type="dxa"/>
              <w:right w:w="70" w:type="dxa"/>
            </w:tcMar>
          </w:tcPr>
          <w:p>
            <w:pPr>
              <w:pStyle w:val="Compact"/>
              <w:jc w:val="left"/>
            </w:pPr>
            <w:r>
              <w:t xml:space="preserve">Change record; test result before deployment</w:t>
            </w:r>
          </w:p>
        </w:tc>
      </w:tr>
      <w:tr>
        <w:trPr>
          <w:cantSplit/>
        </w:trPr>
        <w:tc>
          <w:tcPr>
            <w:tcMar>
              <w:left w:w="30" w:type="dxa"/>
              <w:right w:w="70" w:type="dxa"/>
            </w:tcMar>
          </w:tcPr>
          <w:p>
            <w:pPr>
              <w:pStyle w:val="Compact"/>
              <w:jc w:val="left"/>
            </w:pPr>
            <w:r>
              <w:t xml:space="preserve">14</w:t>
            </w:r>
          </w:p>
        </w:tc>
        <w:tc>
          <w:tcPr>
            <w:tcMar>
              <w:left w:w="70" w:type="dxa"/>
              <w:right w:w="70" w:type="dxa"/>
            </w:tcMar>
          </w:tcPr>
          <w:p>
            <w:pPr>
              <w:pStyle w:val="Compact"/>
              <w:jc w:val="left"/>
            </w:pPr>
            <w:r>
              <w:t xml:space="preserve">Retrieve a complete evidence package for an older transaction from the archive.</w:t>
            </w:r>
          </w:p>
        </w:tc>
        <w:tc>
          <w:tcPr>
            <w:tcMar>
              <w:left w:w="70" w:type="dxa"/>
              <w:right w:w="70" w:type="dxa"/>
            </w:tcMar>
          </w:tcPr>
          <w:p>
            <w:pPr>
              <w:pStyle w:val="Compact"/>
              <w:jc w:val="left"/>
            </w:pPr>
            <w:r>
              <w:t xml:space="preserve">Full record retrieved within the retention period [5]</w:t>
            </w:r>
          </w:p>
        </w:tc>
      </w:tr>
      <w:tr>
        <w:trPr>
          <w:cantSplit/>
        </w:trPr>
        <w:tc>
          <w:tcPr>
            <w:tcMar>
              <w:left w:w="30" w:type="dxa"/>
              <w:right w:w="70" w:type="dxa"/>
            </w:tcMar>
          </w:tcPr>
          <w:p>
            <w:pPr>
              <w:pStyle w:val="Compact"/>
              <w:jc w:val="left"/>
            </w:pPr>
            <w:r>
              <w:t xml:space="preserve">15</w:t>
            </w:r>
          </w:p>
        </w:tc>
        <w:tc>
          <w:tcPr>
            <w:tcMar>
              <w:left w:w="70" w:type="dxa"/>
              <w:right w:w="70" w:type="dxa"/>
            </w:tcMar>
          </w:tcPr>
          <w:p>
            <w:pPr>
              <w:pStyle w:val="Compact"/>
              <w:jc w:val="left"/>
            </w:pPr>
            <w:r>
              <w:t xml:space="preserve">Confirm quality review is performed separately from initial disposition.</w:t>
            </w:r>
          </w:p>
        </w:tc>
        <w:tc>
          <w:tcPr>
            <w:tcMar>
              <w:left w:w="70" w:type="dxa"/>
              <w:right w:w="70" w:type="dxa"/>
            </w:tcMar>
          </w:tcPr>
          <w:p>
            <w:pPr>
              <w:pStyle w:val="Compact"/>
              <w:jc w:val="left"/>
            </w:pPr>
            <w:r>
              <w:t xml:space="preserve">Reviewer identity; sampling record</w:t>
            </w:r>
          </w:p>
        </w:tc>
      </w:tr>
    </w:tbl>
    <w:p>
      <w:r>
        <w:br w:type="page"/>
      </w:r>
    </w:p>
    <w:tbl>
      <w:tblPr>
        <w:tblStyle w:val="Table"/>
        <w:tblW w:type="pct" w:w="5000"/>
        <w:tblLook w:firstRow="1" w:lastRow="0" w:firstColumn="0" w:lastColumn="0" w:noHBand="0" w:noVBand="0" w:val="0020"/>
        <w:jc w:val="start"/>
      </w:tblPr>
      <w:tblGrid>
        <w:gridCol w:w="2640"/>
        <w:gridCol w:w="2640"/>
        <w:gridCol w:w="2640"/>
      </w:tblGrid>
      <w:tr>
        <w:trPr>
          <w:tblHeader w:val="true"/>
          <w:cantSplit/>
        </w:trPr>
        <w:tc>
          <w:tcPr>
            <w:tcMar>
              <w:left w:w="30" w:type="dxa"/>
              <w:right w:w="70" w:type="dxa"/>
            </w:tcMar>
          </w:tcPr>
          <w:p>
            <w:pPr>
              <w:pStyle w:val="Compact"/>
              <w:jc w:val="left"/>
            </w:pPr>
            <w:r>
              <w:t xml:space="preserve">#</w:t>
            </w:r>
          </w:p>
        </w:tc>
        <w:tc>
          <w:tcPr>
            <w:tcMar>
              <w:left w:w="70" w:type="dxa"/>
              <w:right w:w="70" w:type="dxa"/>
            </w:tcMar>
          </w:tcPr>
          <w:p>
            <w:pPr>
              <w:pStyle w:val="Compact"/>
              <w:jc w:val="left"/>
            </w:pPr>
            <w:r>
              <w:t xml:space="preserve">Procedure</w:t>
            </w:r>
          </w:p>
        </w:tc>
        <w:tc>
          <w:tcPr>
            <w:tcMar>
              <w:left w:w="70" w:type="dxa"/>
              <w:right w:w="70" w:type="dxa"/>
            </w:tcMar>
          </w:tcPr>
          <w:p>
            <w:pPr>
              <w:pStyle w:val="Compact"/>
              <w:jc w:val="left"/>
            </w:pPr>
            <w:r>
              <w:t xml:space="preserve">Evidence expected</w:t>
            </w:r>
          </w:p>
        </w:tc>
      </w:tr>
      <w:tr>
        <w:trPr>
          <w:cantSplit/>
        </w:trPr>
        <w:tc>
          <w:tcPr>
            <w:tcMar>
              <w:left w:w="30" w:type="dxa"/>
              <w:right w:w="70" w:type="dxa"/>
            </w:tcMar>
          </w:tcPr>
          <w:p>
            <w:pPr>
              <w:pStyle w:val="Compact"/>
              <w:jc w:val="left"/>
            </w:pPr>
            <w:r>
              <w:t xml:space="preserve">16</w:t>
            </w:r>
          </w:p>
        </w:tc>
        <w:tc>
          <w:tcPr>
            <w:tcMar>
              <w:left w:w="70" w:type="dxa"/>
              <w:right w:w="70" w:type="dxa"/>
            </w:tcMar>
          </w:tcPr>
          <w:p>
            <w:pPr>
              <w:pStyle w:val="Compact"/>
              <w:jc w:val="left"/>
            </w:pPr>
            <w:r>
              <w:t xml:space="preserve">Confirm independent testing is performed by qualified personnel independent of the function under review, with documented scope, workpapers, and tracked findings [10].</w:t>
            </w:r>
          </w:p>
        </w:tc>
        <w:tc>
          <w:tcPr>
            <w:tcMar>
              <w:left w:w="70" w:type="dxa"/>
              <w:right w:w="70" w:type="dxa"/>
            </w:tcMar>
          </w:tcPr>
          <w:p>
            <w:pPr>
              <w:pStyle w:val="Compact"/>
              <w:jc w:val="left"/>
            </w:pPr>
            <w:r>
              <w:t xml:space="preserve">Test plan, workpapers, findings log, corrective-action tracking</w:t>
            </w:r>
          </w:p>
        </w:tc>
      </w:tr>
    </w:tbl>
    <w:p>
      <w:pPr>
        <w:pStyle w:val="BodyText"/>
      </w:pPr>
      <w:r>
        <w:t xml:space="preserve">The Payoneer settlement shows why detection and backlog testing belong here. OFAC found weak algorithms that allowed close matches to go unflagged, a failure to screen for BICs contained in list entries, and automatic release of flagged payments during backlogs [8].</w:t>
      </w:r>
    </w:p>
    <w:bookmarkEnd w:id="31"/>
    <w:bookmarkEnd w:id="32"/>
    <w:bookmarkStart w:id="34" w:name="reusable-framework"/>
    <w:p>
      <w:pPr>
        <w:pStyle w:val="Heading2"/>
      </w:pPr>
      <w:r>
        <w:t xml:space="preserve">Reusable framework</w:t>
      </w:r>
    </w:p>
    <w:bookmarkStart w:id="33" w:name="blank-control-evidence-map"/>
    <w:p>
      <w:pPr>
        <w:pStyle w:val="Heading3"/>
      </w:pPr>
      <w:r>
        <w:t xml:space="preserve">Blank control evidence map</w:t>
      </w:r>
    </w:p>
    <w:p>
      <w:pPr>
        <w:pStyle w:val="FirstParagraph"/>
      </w:pPr>
      <w:r>
        <w:t xml:space="preserve">Complete every field and record unsupported assumptions before the control is approved for implementation.</w:t>
      </w:r>
    </w:p>
    <w:p>
      <w:pPr>
        <w:pStyle w:val="BodyText"/>
      </w:pPr>
      <w:r>
        <w:rPr>
          <w:bCs/>
          <w:b/>
        </w:rPr>
        <w:t xml:space="preserve">Control header</w:t>
      </w:r>
      <w:r>
        <w:t xml:space="preserve"> </w:t>
      </w:r>
      <w:r>
        <w:t xml:space="preserve">- Control ID and version</w:t>
      </w:r>
      <w:r>
        <w:t xml:space="preserve"> </w:t>
      </w:r>
      <w:r>
        <w:t xml:space="preserve">- Control owner</w:t>
      </w:r>
      <w:r>
        <w:t xml:space="preserve"> </w:t>
      </w:r>
      <w:r>
        <w:t xml:space="preserve">- Last reviewed date</w:t>
      </w:r>
    </w:p>
    <w:p>
      <w:pPr>
        <w:pStyle w:val="BodyText"/>
      </w:pPr>
      <w:r>
        <w:rPr>
          <w:bCs/>
          <w:b/>
        </w:rPr>
        <w:t xml:space="preserve">01 · Obligation</w:t>
      </w:r>
      <w:r>
        <w:t xml:space="preserve"> </w:t>
      </w:r>
      <w:r>
        <w:t xml:space="preserve">1. Applicable authority and policy</w:t>
      </w:r>
      <w:r>
        <w:t xml:space="preserve"> </w:t>
      </w:r>
      <w:r>
        <w:t xml:space="preserve">2. Risk statement</w:t>
      </w:r>
      <w:r>
        <w:t xml:space="preserve"> </w:t>
      </w:r>
      <w:r>
        <w:t xml:space="preserve">3. Responsible legal entity, possession or control of funds, and allocation among the fintech, sponsor bank, partners, and providers</w:t>
      </w:r>
    </w:p>
    <w:p>
      <w:pPr>
        <w:pStyle w:val="BodyText"/>
      </w:pPr>
      <w:r>
        <w:rPr>
          <w:bCs/>
          <w:b/>
        </w:rPr>
        <w:t xml:space="preserve">02 · Control objective</w:t>
      </w:r>
      <w:r>
        <w:t xml:space="preserve"> </w:t>
      </w:r>
      <w:r>
        <w:t xml:space="preserve">4. Observable outcome the control must produce</w:t>
      </w:r>
    </w:p>
    <w:p>
      <w:pPr>
        <w:pStyle w:val="BodyText"/>
      </w:pPr>
      <w:r>
        <w:rPr>
          <w:bCs/>
          <w:b/>
        </w:rPr>
        <w:t xml:space="preserve">03 · Trigger and scope</w:t>
      </w:r>
      <w:r>
        <w:t xml:space="preserve"> </w:t>
      </w:r>
      <w:r>
        <w:t xml:space="preserve">5. Products, channels, parties, and jurisdictions in scope</w:t>
      </w:r>
      <w:r>
        <w:t xml:space="preserve"> </w:t>
      </w:r>
      <w:r>
        <w:t xml:space="preserve">6. Trigger events and frequency</w:t>
      </w:r>
      <w:r>
        <w:t xml:space="preserve"> </w:t>
      </w:r>
      <w:r>
        <w:t xml:space="preserve">7. Required data, source systems, and field mapping to the screening request</w:t>
      </w:r>
      <w:r>
        <w:t xml:space="preserve"> </w:t>
      </w:r>
      <w:r>
        <w:t xml:space="preserve">8. Approved exclusions, rationale, and approver</w:t>
      </w:r>
    </w:p>
    <w:p>
      <w:pPr>
        <w:pStyle w:val="BodyText"/>
      </w:pPr>
      <w:r>
        <w:rPr>
          <w:bCs/>
          <w:b/>
        </w:rPr>
        <w:t xml:space="preserve">04 · Decision logic</w:t>
      </w:r>
      <w:r>
        <w:t xml:space="preserve"> </w:t>
      </w:r>
      <w:r>
        <w:t xml:space="preserve">9. Lists, rules, thresholds, and configuration owner</w:t>
      </w:r>
      <w:r>
        <w:t xml:space="preserve"> </w:t>
      </w:r>
      <w:r>
        <w:t xml:space="preserve">10. Normal workflow and system enforcement of holds</w:t>
      </w:r>
      <w:r>
        <w:t xml:space="preserve"> </w:t>
      </w:r>
      <w:r>
        <w:t xml:space="preserve">11. Decision authority and approval requirements</w:t>
      </w:r>
      <w:r>
        <w:t xml:space="preserve"> </w:t>
      </w:r>
      <w:r>
        <w:t xml:space="preserve">12. Post-disposition reporting, blocked-property, recordkeeping, licensing, communication, and follow-up handoffs, with owners and deadlines</w:t>
      </w:r>
    </w:p>
    <w:p>
      <w:pPr>
        <w:pStyle w:val="BodyText"/>
      </w:pPr>
      <w:r>
        <w:rPr>
          <w:bCs/>
          <w:b/>
        </w:rPr>
        <w:t xml:space="preserve">05 · Exception path</w:t>
      </w:r>
      <w:r>
        <w:t xml:space="preserve"> </w:t>
      </w:r>
      <w:r>
        <w:t xml:space="preserve">13. Outage, incomplete-data, backlog, and escalation paths, with time limits</w:t>
      </w:r>
      <w:r>
        <w:t xml:space="preserve"> </w:t>
      </w:r>
      <w:r>
        <w:t xml:space="preserve">14. Override rules and permitted roles</w:t>
      </w:r>
    </w:p>
    <w:p>
      <w:pPr>
        <w:pStyle w:val="BodyText"/>
      </w:pPr>
      <w:r>
        <w:rPr>
          <w:bCs/>
          <w:b/>
        </w:rPr>
        <w:t xml:space="preserve">06 · Evidence</w:t>
      </w:r>
      <w:r>
        <w:t xml:space="preserve"> </w:t>
      </w:r>
      <w:r>
        <w:t xml:space="preserve">15. Evidence produced and system of record for each element</w:t>
      </w:r>
      <w:r>
        <w:t xml:space="preserve"> </w:t>
      </w:r>
      <w:r>
        <w:t xml:space="preserve">16. Retention period, governing authority, and retrieval method</w:t>
      </w:r>
    </w:p>
    <w:p>
      <w:pPr>
        <w:pStyle w:val="BodyText"/>
      </w:pPr>
      <w:r>
        <w:rPr>
          <w:bCs/>
          <w:b/>
        </w:rPr>
        <w:t xml:space="preserve">07 · Assurance</w:t>
      </w:r>
      <w:r>
        <w:t xml:space="preserve"> </w:t>
      </w:r>
      <w:r>
        <w:t xml:space="preserve">17. Operating owner and backup owner</w:t>
      </w:r>
      <w:r>
        <w:t xml:space="preserve"> </w:t>
      </w:r>
      <w:r>
        <w:t xml:space="preserve">18. Quality-review method and sample</w:t>
      </w:r>
      <w:r>
        <w:t xml:space="preserve"> </w:t>
      </w:r>
      <w:r>
        <w:t xml:space="preserve">19. Detection-testing method and frequency</w:t>
      </w:r>
      <w:r>
        <w:t xml:space="preserve"> </w:t>
      </w:r>
      <w:r>
        <w:t xml:space="preserve">20. Independent-testing method and frequency</w:t>
      </w:r>
      <w:r>
        <w:t xml:space="preserve"> </w:t>
      </w:r>
      <w:r>
        <w:t xml:space="preserve">21. Management metrics and escalation thresholds</w:t>
      </w:r>
      <w:r>
        <w:t xml:space="preserve"> </w:t>
      </w:r>
      <w:r>
        <w:t xml:space="preserve">22. Change-control requirements</w:t>
      </w:r>
      <w:r>
        <w:t xml:space="preserve"> </w:t>
      </w:r>
      <w:r>
        <w:t xml:space="preserve">23. Known limitations, unsupported assumptions, and accepted residual risk</w:t>
      </w:r>
    </w:p>
    <w:bookmarkEnd w:id="33"/>
    <w:bookmarkEnd w:id="34"/>
    <w:bookmarkStart w:id="46" w:name="primary-sources"/>
    <w:p>
      <w:pPr>
        <w:pStyle w:val="Heading2"/>
      </w:pPr>
      <w:r>
        <w:t xml:space="preserve">Primary sources</w:t>
      </w:r>
    </w:p>
    <w:bookmarkStart w:id="45" w:name="basis-for-the-framework"/>
    <w:p>
      <w:pPr>
        <w:pStyle w:val="Heading3"/>
      </w:pPr>
      <w:r>
        <w:t xml:space="preserve">Basis for the framework</w:t>
      </w:r>
    </w:p>
    <w:p>
      <w:pPr>
        <w:pStyle w:val="FirstParagraph"/>
      </w:pPr>
      <w:r>
        <w:t xml:space="preserve">OFAC administers U.S. sanctions programs, and its requirements are distinct from the Bank Secrecy Act. The FFIEC materials are bank examination guidance, used here as a lens for program elements and independent testing. All sources were checked on September 16, 2026.</w:t>
      </w:r>
    </w:p>
    <w:p>
      <w:pPr>
        <w:numPr>
          <w:ilvl w:val="0"/>
          <w:numId w:val="1002"/>
        </w:numPr>
        <w:pStyle w:val="Compact"/>
        <w:spacing w:before="0" w:after="0" w:line="240" w:lineRule="auto"/>
      </w:pPr>
      <w:hyperlink r:id="rId35">
        <w:r>
          <w:rPr>
            <w:rStyle w:val="Hyperlink"/>
          </w:rPr>
          <w:t xml:space="preserve">A Framework for OFAC Compliance Commitments</w:t>
        </w:r>
      </w:hyperlink>
      <w:r>
        <w:rPr>
          <w:sz w:val="18"/>
        </w:rPr>
        <w:t xml:space="preserve"> </w:t>
      </w:r>
      <w:r>
        <w:rPr>
          <w:sz w:val="18"/>
        </w:rPr>
        <w:t xml:space="preserve">(Office of Foreign Assets Control, May 2, 2019). Risk-based program design, screening scope, testing and auditing, and root causes involving screening software and filter faults.</w:t>
      </w:r>
    </w:p>
    <w:p>
      <w:pPr>
        <w:numPr>
          <w:ilvl w:val="0"/>
          <w:numId w:val="1002"/>
        </w:numPr>
        <w:pStyle w:val="Compact"/>
        <w:spacing w:before="0" w:after="0" w:line="240" w:lineRule="auto"/>
      </w:pPr>
      <w:hyperlink r:id="rId36">
        <w:r>
          <w:rPr>
            <w:rStyle w:val="Hyperlink"/>
          </w:rPr>
          <w:t xml:space="preserve">FAQ 5: When screening for sanctions, how do I determine if I have a valid match to a name on one of OFAC’s lists?</w:t>
        </w:r>
      </w:hyperlink>
      <w:r>
        <w:rPr>
          <w:sz w:val="18"/>
        </w:rPr>
        <w:t xml:space="preserve"> </w:t>
      </w:r>
      <w:r>
        <w:rPr>
          <w:sz w:val="18"/>
        </w:rPr>
        <w:t xml:space="preserve">(Office of Foreign Assets Control; updated September 9, 2026). Match evaluation sequence.</w:t>
      </w:r>
    </w:p>
    <w:p>
      <w:pPr>
        <w:numPr>
          <w:ilvl w:val="0"/>
          <w:numId w:val="1002"/>
        </w:numPr>
        <w:pStyle w:val="Compact"/>
        <w:spacing w:before="0" w:after="0" w:line="240" w:lineRule="auto"/>
      </w:pPr>
      <w:hyperlink r:id="rId37">
        <w:r>
          <w:rPr>
            <w:rStyle w:val="Hyperlink"/>
          </w:rPr>
          <w:t xml:space="preserve">FAQ 124: Am I required to screen for weak aliases (AKAs)?</w:t>
        </w:r>
      </w:hyperlink>
      <w:r>
        <w:rPr>
          <w:sz w:val="18"/>
        </w:rPr>
        <w:t xml:space="preserve"> </w:t>
      </w:r>
      <w:r>
        <w:rPr>
          <w:sz w:val="18"/>
        </w:rPr>
        <w:t xml:space="preserve">(Office of Foreign Assets Control). Screening choices for weak aliases.</w:t>
      </w:r>
    </w:p>
    <w:p>
      <w:pPr>
        <w:numPr>
          <w:ilvl w:val="0"/>
          <w:numId w:val="1002"/>
        </w:numPr>
        <w:pStyle w:val="Compact"/>
        <w:spacing w:before="0" w:after="0" w:line="240" w:lineRule="auto"/>
      </w:pPr>
      <w:hyperlink r:id="rId38">
        <w:r>
          <w:rPr>
            <w:rStyle w:val="Hyperlink"/>
          </w:rPr>
          <w:t xml:space="preserve">Revised Guidance on Entities Owned by Persons Whose Property and Interests in Property Are Blocked</w:t>
        </w:r>
      </w:hyperlink>
      <w:r>
        <w:rPr>
          <w:sz w:val="18"/>
        </w:rPr>
        <w:t xml:space="preserve"> </w:t>
      </w:r>
      <w:r>
        <w:rPr>
          <w:sz w:val="18"/>
        </w:rPr>
        <w:t xml:space="preserve">(Office of Foreign Assets Control, August 13, 2014). The 50 Percent Rule.</w:t>
      </w:r>
    </w:p>
    <w:p>
      <w:pPr>
        <w:numPr>
          <w:ilvl w:val="0"/>
          <w:numId w:val="1002"/>
        </w:numPr>
        <w:pStyle w:val="Compact"/>
        <w:spacing w:before="0" w:after="0" w:line="240" w:lineRule="auto"/>
      </w:pPr>
      <w:hyperlink r:id="rId39">
        <w:r>
          <w:rPr>
            <w:rStyle w:val="Hyperlink"/>
          </w:rPr>
          <w:t xml:space="preserve">31 CFR 501.601, Records and recordkeeping requirements</w:t>
        </w:r>
      </w:hyperlink>
      <w:r>
        <w:rPr>
          <w:sz w:val="18"/>
        </w:rPr>
        <w:t xml:space="preserve"> </w:t>
      </w:r>
      <w:r>
        <w:rPr>
          <w:sz w:val="18"/>
        </w:rPr>
        <w:t xml:space="preserve">(Electronic Code of Federal Regulations). Ten-year retention.</w:t>
      </w:r>
    </w:p>
    <w:p>
      <w:pPr>
        <w:numPr>
          <w:ilvl w:val="0"/>
          <w:numId w:val="1002"/>
        </w:numPr>
        <w:pStyle w:val="Compact"/>
        <w:spacing w:before="0" w:after="0" w:line="240" w:lineRule="auto"/>
      </w:pPr>
      <w:hyperlink r:id="rId40">
        <w:r>
          <w:rPr>
            <w:rStyle w:val="Hyperlink"/>
          </w:rPr>
          <w:t xml:space="preserve">31 CFR 501.603, Reports of blocked, unblocked, or transferred blocked property</w:t>
        </w:r>
      </w:hyperlink>
      <w:r>
        <w:rPr>
          <w:sz w:val="18"/>
        </w:rPr>
        <w:t xml:space="preserve"> </w:t>
      </w:r>
      <w:r>
        <w:rPr>
          <w:sz w:val="18"/>
        </w:rPr>
        <w:t xml:space="preserve">(Electronic Code of Federal Regulations). Blocking reports and annual report.</w:t>
      </w:r>
    </w:p>
    <w:p>
      <w:pPr>
        <w:numPr>
          <w:ilvl w:val="0"/>
          <w:numId w:val="1002"/>
        </w:numPr>
        <w:pStyle w:val="Compact"/>
        <w:spacing w:before="0" w:after="0" w:line="240" w:lineRule="auto"/>
      </w:pPr>
      <w:hyperlink r:id="rId41">
        <w:r>
          <w:rPr>
            <w:rStyle w:val="Hyperlink"/>
          </w:rPr>
          <w:t xml:space="preserve">31 CFR 501.604, Reports of rejected transactions</w:t>
        </w:r>
      </w:hyperlink>
      <w:r>
        <w:rPr>
          <w:sz w:val="18"/>
        </w:rPr>
        <w:t xml:space="preserve"> </w:t>
      </w:r>
      <w:r>
        <w:rPr>
          <w:sz w:val="18"/>
        </w:rPr>
        <w:t xml:space="preserve">(Electronic Code of Federal Regulations). Rejected transaction reports.</w:t>
      </w:r>
    </w:p>
    <w:p>
      <w:pPr>
        <w:numPr>
          <w:ilvl w:val="0"/>
          <w:numId w:val="1002"/>
        </w:numPr>
        <w:pStyle w:val="Compact"/>
        <w:spacing w:before="0" w:after="0" w:line="240" w:lineRule="auto"/>
      </w:pPr>
      <w:hyperlink r:id="rId42">
        <w:r>
          <w:rPr>
            <w:rStyle w:val="Hyperlink"/>
          </w:rPr>
          <w:t xml:space="preserve">OFAC Enters Into $1,385,901.40 Settlement with Payoneer Inc. for Apparent Violations of Multiple Sanctions Programs</w:t>
        </w:r>
      </w:hyperlink>
      <w:r>
        <w:rPr>
          <w:sz w:val="18"/>
        </w:rPr>
        <w:t xml:space="preserve"> </w:t>
      </w:r>
      <w:r>
        <w:rPr>
          <w:sz w:val="18"/>
        </w:rPr>
        <w:t xml:space="preserve">(Office of Foreign Assets Control, July 23, 2021). Algorithm, BIC screening, and backlog release failures.</w:t>
      </w:r>
    </w:p>
    <w:p>
      <w:pPr>
        <w:numPr>
          <w:ilvl w:val="0"/>
          <w:numId w:val="1002"/>
        </w:numPr>
        <w:pStyle w:val="Compact"/>
        <w:spacing w:before="0" w:after="0" w:line="240" w:lineRule="auto"/>
      </w:pPr>
      <w:hyperlink r:id="rId43">
        <w:r>
          <w:rPr>
            <w:rStyle w:val="Hyperlink"/>
          </w:rPr>
          <w:t xml:space="preserve">BSA/AML Examination Manual: Office of Foreign Assets Control</w:t>
        </w:r>
      </w:hyperlink>
      <w:r>
        <w:rPr>
          <w:sz w:val="18"/>
        </w:rPr>
        <w:t xml:space="preserve"> </w:t>
      </w:r>
      <w:r>
        <w:rPr>
          <w:sz w:val="18"/>
        </w:rPr>
        <w:t xml:space="preserve">(Federal Financial Institutions Examination Council). Program elements, list updating, and third-party responsibility for banks.</w:t>
      </w:r>
    </w:p>
    <w:p>
      <w:pPr>
        <w:numPr>
          <w:ilvl w:val="0"/>
          <w:numId w:val="1002"/>
        </w:numPr>
        <w:pStyle w:val="Compact"/>
        <w:spacing w:before="0" w:after="0" w:line="240" w:lineRule="auto"/>
      </w:pPr>
      <w:hyperlink r:id="rId44">
        <w:r>
          <w:rPr>
            <w:rStyle w:val="Hyperlink"/>
          </w:rPr>
          <w:t xml:space="preserve">BSA/AML Examination Manual: BSA/AML Independent Testing</w:t>
        </w:r>
      </w:hyperlink>
      <w:r>
        <w:rPr>
          <w:sz w:val="18"/>
        </w:rPr>
        <w:t xml:space="preserve"> </w:t>
      </w:r>
      <w:r>
        <w:rPr>
          <w:sz w:val="18"/>
        </w:rPr>
        <w:t xml:space="preserve">(Federal Financial Institutions Examination Council). Independence, scope, workpapers, and follow-up.</w:t>
      </w:r>
    </w:p>
    <w:bookmarkEnd w:id="45"/>
    <w:bookmarkEnd w:id="46"/>
    <w:bookmarkStart w:id="47" w:name="scope-and-limitations"/>
    <w:p>
      <w:pPr>
        <w:pStyle w:val="Heading2"/>
      </w:pPr>
      <w:r>
        <w:t xml:space="preserve">Scope and limitations</w:t>
      </w:r>
    </w:p>
    <w:p>
      <w:pPr>
        <w:pStyle w:val="FirstParagraph"/>
      </w:pPr>
      <w:r>
        <w:t xml:space="preserve">This illustrative resource supports operational design and discussion. It does not determine whether a transaction is prohibited, replace an organization-specific risk assessment, or satisfy any legal, regulatory, contractual, or supervisory requirement. Configure the control using the applicable sanctions programs, licenses, product design, jurisdictions, data, contractual duties, and qualified legal and compliance advice.</w:t>
      </w:r>
    </w:p>
    <w:bookmarkEnd w:id="47"/>
    <w:bookmarkEnd w:id="48"/>
    <w:sectPr>
      <w:pgMar w:bottom="9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brightseaadvisors.com/insights/how-to-turn-a-sanctions-policy-into-an-operating-control/" TargetMode="External"/><Relationship Id="rId44" Type="http://schemas.openxmlformats.org/officeDocument/2006/relationships/hyperlink" Target="https://bsaaml.ffiec.gov/manual/AssessingTheBSAAMLComplianceProgram/03" TargetMode="External"/><Relationship Id="rId43" Type="http://schemas.openxmlformats.org/officeDocument/2006/relationships/hyperlink" Target="https://bsaaml.ffiec.gov/manual/OfficeOfForeignAssetsControl/01" TargetMode="External"/><Relationship Id="rId37" Type="http://schemas.openxmlformats.org/officeDocument/2006/relationships/hyperlink" Target="https://ofac.treasury.gov/faqs/124" TargetMode="External"/><Relationship Id="rId36" Type="http://schemas.openxmlformats.org/officeDocument/2006/relationships/hyperlink" Target="https://ofac.treasury.gov/faqs/5" TargetMode="External"/><Relationship Id="rId35" Type="http://schemas.openxmlformats.org/officeDocument/2006/relationships/hyperlink" Target="https://ofac.treasury.gov/media/16331/download?inline" TargetMode="External"/><Relationship Id="rId38" Type="http://schemas.openxmlformats.org/officeDocument/2006/relationships/hyperlink" Target="https://ofac.treasury.gov/media/6186/download?inline=" TargetMode="External"/><Relationship Id="rId42" Type="http://schemas.openxmlformats.org/officeDocument/2006/relationships/hyperlink" Target="https://ofac.treasury.gov/media/911571/download?inline=" TargetMode="External"/><Relationship Id="rId39" Type="http://schemas.openxmlformats.org/officeDocument/2006/relationships/hyperlink" Target="https://www.ecfr.gov/current/title-31/section-501.601" TargetMode="External"/><Relationship Id="rId40" Type="http://schemas.openxmlformats.org/officeDocument/2006/relationships/hyperlink" Target="https://www.ecfr.gov/current/title-31/section-501.603" TargetMode="External"/><Relationship Id="rId41" Type="http://schemas.openxmlformats.org/officeDocument/2006/relationships/hyperlink" Target="https://www.ecfr.gov/current/title-31/section-501.604" TargetMode="External"/></Relationships>
</file>

<file path=word/_rels/footnotes.xml.rels><?xml version='1.0' encoding='UTF-8' standalone='yes'?>
<Relationships xmlns="http://schemas.openxmlformats.org/package/2006/relationships"><Relationship Id="rId20" Type="http://schemas.openxmlformats.org/officeDocument/2006/relationships/hyperlink" Target="https://brightseaadvisors.com/insights/sanctions-policy-operating-control/" TargetMode="External"/><Relationship Id="rId44" Type="http://schemas.openxmlformats.org/officeDocument/2006/relationships/hyperlink" Target="https://bsaaml.ffiec.gov/manual/AssessingTheBSAAMLComplianceProgram/03" TargetMode="External"/><Relationship Id="rId43" Type="http://schemas.openxmlformats.org/officeDocument/2006/relationships/hyperlink" Target="https://bsaaml.ffiec.gov/manual/OfficeOfForeignAssetsControl/01" TargetMode="External"/><Relationship Id="rId37" Type="http://schemas.openxmlformats.org/officeDocument/2006/relationships/hyperlink" Target="https://ofac.treasury.gov/faqs/124" TargetMode="External"/><Relationship Id="rId36" Type="http://schemas.openxmlformats.org/officeDocument/2006/relationships/hyperlink" Target="https://ofac.treasury.gov/faqs/5" TargetMode="External"/><Relationship Id="rId35" Type="http://schemas.openxmlformats.org/officeDocument/2006/relationships/hyperlink" Target="https://ofac.treasury.gov/media/16331/download?inline" TargetMode="External"/><Relationship Id="rId38" Type="http://schemas.openxmlformats.org/officeDocument/2006/relationships/hyperlink" Target="https://ofac.treasury.gov/media/6186/download?inline=" TargetMode="External"/><Relationship Id="rId42" Type="http://schemas.openxmlformats.org/officeDocument/2006/relationships/hyperlink" Target="https://ofac.treasury.gov/media/911571/download?inline=" TargetMode="External"/><Relationship Id="rId39" Type="http://schemas.openxmlformats.org/officeDocument/2006/relationships/hyperlink" Target="https://www.ecfr.gov/current/title-31/section-501.601" TargetMode="External"/><Relationship Id="rId40" Type="http://schemas.openxmlformats.org/officeDocument/2006/relationships/hyperlink" Target="https://www.ecfr.gov/current/title-31/section-501.603" TargetMode="External"/><Relationship Id="rId41" Type="http://schemas.openxmlformats.org/officeDocument/2006/relationships/hyperlink" Target="https://www.ecfr.gov/current/title-31/section-501.6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Evidence Map</dc:title>
  <dc:creator>Bright Sea Advisors</dc:creator>
  <cp:keywords>sanctions screening, OFAC, control evidence, independent testing, fintech compliance</cp:keywords>
  <dcterms:created xsi:type="dcterms:W3CDTF">2026-09-16T16:50:22Z</dcterms:created>
  <dcterms:modified xsi:type="dcterms:W3CDTF">2026-09-16T16:50:22Z</dcterms:modified>
  <dc:subject>Sanctions-screening operating-control field guide and reusable framework</dc:subject>
  <dc:description>Version 1.1</dc:description>
</cp:coreProperties>
</file>

<file path=docProps/custom.xml><?xml version="1.0" encoding="utf-8"?>
<Properties xmlns="http://schemas.openxmlformats.org/officeDocument/2006/custom-properties" xmlns:vt="http://schemas.openxmlformats.org/officeDocument/2006/docPropsVTypes"/>
</file>